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9C" w:rsidRDefault="00835E9C" w:rsidP="0068104D">
      <w:pPr>
        <w:jc w:val="center"/>
        <w:rPr>
          <w:lang w:val="fr-FR"/>
        </w:rPr>
      </w:pPr>
    </w:p>
    <w:p w:rsidR="00835E9C" w:rsidRDefault="00835E9C" w:rsidP="0068104D">
      <w:pPr>
        <w:jc w:val="center"/>
        <w:rPr>
          <w:lang w:val="fr-FR"/>
        </w:rPr>
      </w:pPr>
    </w:p>
    <w:p w:rsidR="00835E9C" w:rsidRPr="00685582" w:rsidRDefault="00835E9C" w:rsidP="0068104D">
      <w:pPr>
        <w:jc w:val="center"/>
        <w:rPr>
          <w:lang w:val="fr-FR"/>
        </w:rPr>
      </w:pPr>
    </w:p>
    <w:p w:rsidR="00835E9C" w:rsidRPr="00685582" w:rsidRDefault="00835E9C" w:rsidP="0068104D">
      <w:pPr>
        <w:jc w:val="center"/>
        <w:rPr>
          <w:lang w:val="fr-FR"/>
        </w:rPr>
      </w:pPr>
      <w:r>
        <w:rPr>
          <w:lang w:val="fr-FR"/>
        </w:rPr>
        <w:t>DEUXIÈME SECTION</w:t>
      </w:r>
    </w:p>
    <w:p w:rsidR="00835E9C" w:rsidRDefault="00835E9C" w:rsidP="0068104D">
      <w:pPr>
        <w:jc w:val="center"/>
        <w:rPr>
          <w:lang w:val="fr-FR"/>
        </w:rPr>
      </w:pPr>
    </w:p>
    <w:p w:rsidR="00835E9C" w:rsidRDefault="00835E9C" w:rsidP="0068104D">
      <w:pPr>
        <w:jc w:val="center"/>
        <w:rPr>
          <w:lang w:val="fr-FR"/>
        </w:rPr>
      </w:pPr>
    </w:p>
    <w:p w:rsidR="00835E9C" w:rsidRDefault="00835E9C" w:rsidP="0068104D">
      <w:pPr>
        <w:jc w:val="center"/>
        <w:rPr>
          <w:lang w:val="fr-FR"/>
        </w:rPr>
      </w:pPr>
    </w:p>
    <w:p w:rsidR="00835E9C" w:rsidRDefault="00835E9C" w:rsidP="0068104D">
      <w:pPr>
        <w:jc w:val="center"/>
        <w:rPr>
          <w:lang w:val="fr-FR"/>
        </w:rPr>
      </w:pPr>
    </w:p>
    <w:p w:rsidR="00835E9C" w:rsidRDefault="00835E9C" w:rsidP="0068104D">
      <w:pPr>
        <w:jc w:val="center"/>
        <w:rPr>
          <w:lang w:val="fr-FR"/>
        </w:rPr>
      </w:pPr>
    </w:p>
    <w:p w:rsidR="00835E9C" w:rsidRPr="00685582" w:rsidRDefault="00835E9C" w:rsidP="0068104D">
      <w:pPr>
        <w:jc w:val="center"/>
        <w:rPr>
          <w:lang w:val="fr-FR"/>
        </w:rPr>
      </w:pPr>
    </w:p>
    <w:p w:rsidR="00835E9C" w:rsidRPr="00685582" w:rsidRDefault="00835E9C" w:rsidP="0068104D">
      <w:pPr>
        <w:jc w:val="center"/>
        <w:rPr>
          <w:b/>
          <w:lang w:val="fr-FR"/>
        </w:rPr>
      </w:pPr>
      <w:bookmarkStart w:id="0" w:name="To"/>
      <w:r w:rsidRPr="00685582">
        <w:rPr>
          <w:b/>
          <w:lang w:val="fr-FR"/>
        </w:rPr>
        <w:t xml:space="preserve">AFFAIRE </w:t>
      </w:r>
      <w:bookmarkEnd w:id="0"/>
      <w:r>
        <w:rPr>
          <w:b/>
          <w:lang w:val="fr-FR"/>
        </w:rPr>
        <w:t>MARINO ET COLACIONE c. ITALIE</w:t>
      </w:r>
    </w:p>
    <w:p w:rsidR="00835E9C" w:rsidRPr="00685582" w:rsidRDefault="00835E9C" w:rsidP="0068104D">
      <w:pPr>
        <w:jc w:val="center"/>
        <w:rPr>
          <w:lang w:val="fr-FR"/>
        </w:rPr>
      </w:pPr>
    </w:p>
    <w:p w:rsidR="00835E9C" w:rsidRDefault="00835E9C" w:rsidP="0068104D">
      <w:pPr>
        <w:jc w:val="center"/>
        <w:rPr>
          <w:szCs w:val="24"/>
          <w:lang w:val="fr-FR"/>
        </w:rPr>
      </w:pPr>
      <w:r w:rsidRPr="00685582">
        <w:rPr>
          <w:i/>
          <w:lang w:val="fr-FR"/>
        </w:rPr>
        <w:t>(Requêtes n</w:t>
      </w:r>
      <w:r w:rsidRPr="00685582">
        <w:rPr>
          <w:i/>
          <w:vertAlign w:val="superscript"/>
          <w:lang w:val="fr-FR"/>
        </w:rPr>
        <w:t>os</w:t>
      </w:r>
      <w:r>
        <w:rPr>
          <w:i/>
          <w:lang w:val="fr-FR"/>
        </w:rPr>
        <w:t>45869/08</w:t>
      </w:r>
      <w:r w:rsidRPr="00685582">
        <w:rPr>
          <w:i/>
          <w:lang w:val="fr-FR"/>
        </w:rPr>
        <w:t xml:space="preserve"> et </w:t>
      </w:r>
      <w:r>
        <w:rPr>
          <w:i/>
          <w:lang w:val="fr-FR"/>
        </w:rPr>
        <w:t>47348/08</w:t>
      </w:r>
      <w:r w:rsidRPr="00685582">
        <w:rPr>
          <w:i/>
          <w:lang w:val="fr-FR"/>
        </w:rPr>
        <w:t>)</w:t>
      </w:r>
    </w:p>
    <w:p w:rsidR="00835E9C" w:rsidRDefault="00835E9C" w:rsidP="0068104D">
      <w:pPr>
        <w:jc w:val="center"/>
        <w:rPr>
          <w:szCs w:val="24"/>
          <w:u w:val="single"/>
          <w:lang w:val="fr-FR"/>
        </w:rPr>
      </w:pPr>
    </w:p>
    <w:p w:rsidR="00835E9C" w:rsidRDefault="00835E9C" w:rsidP="0068104D">
      <w:pPr>
        <w:jc w:val="center"/>
        <w:rPr>
          <w:szCs w:val="24"/>
          <w:u w:val="single"/>
          <w:lang w:val="fr-FR"/>
        </w:rPr>
      </w:pPr>
    </w:p>
    <w:p w:rsidR="00835E9C" w:rsidRDefault="00835E9C" w:rsidP="0068104D">
      <w:pPr>
        <w:jc w:val="center"/>
        <w:rPr>
          <w:szCs w:val="24"/>
          <w:u w:val="single"/>
          <w:lang w:val="fr-FR"/>
        </w:rPr>
      </w:pPr>
    </w:p>
    <w:p w:rsidR="00835E9C" w:rsidRDefault="00835E9C" w:rsidP="0068104D">
      <w:pPr>
        <w:jc w:val="center"/>
        <w:rPr>
          <w:szCs w:val="24"/>
          <w:u w:val="single"/>
          <w:lang w:val="fr-FR"/>
        </w:rPr>
      </w:pPr>
    </w:p>
    <w:p w:rsidR="00835E9C" w:rsidRDefault="00835E9C" w:rsidP="0068104D">
      <w:pPr>
        <w:jc w:val="center"/>
        <w:rPr>
          <w:szCs w:val="24"/>
          <w:u w:val="single"/>
          <w:lang w:val="fr-FR"/>
        </w:rPr>
      </w:pPr>
    </w:p>
    <w:p w:rsidR="00835E9C" w:rsidRDefault="00835E9C" w:rsidP="0068104D">
      <w:pPr>
        <w:jc w:val="center"/>
        <w:rPr>
          <w:szCs w:val="24"/>
          <w:u w:val="single"/>
          <w:lang w:val="fr-FR"/>
        </w:rPr>
      </w:pPr>
    </w:p>
    <w:p w:rsidR="00835E9C" w:rsidRDefault="00835E9C" w:rsidP="0068104D">
      <w:pPr>
        <w:jc w:val="center"/>
        <w:rPr>
          <w:szCs w:val="24"/>
          <w:u w:val="single"/>
          <w:lang w:val="fr-FR"/>
        </w:rPr>
      </w:pPr>
    </w:p>
    <w:p w:rsidR="00835E9C" w:rsidRDefault="00835E9C" w:rsidP="0068104D">
      <w:pPr>
        <w:jc w:val="center"/>
        <w:rPr>
          <w:szCs w:val="24"/>
          <w:u w:val="single"/>
          <w:lang w:val="fr-FR"/>
        </w:rPr>
      </w:pPr>
    </w:p>
    <w:p w:rsidR="00835E9C" w:rsidRDefault="00835E9C" w:rsidP="0068104D">
      <w:pPr>
        <w:jc w:val="center"/>
        <w:rPr>
          <w:szCs w:val="24"/>
          <w:u w:val="single"/>
          <w:lang w:val="fr-FR"/>
        </w:rPr>
      </w:pPr>
    </w:p>
    <w:p w:rsidR="00835E9C" w:rsidRPr="00BB3DA3" w:rsidRDefault="00835E9C" w:rsidP="00BB3DA3">
      <w:pPr>
        <w:jc w:val="center"/>
        <w:rPr>
          <w:szCs w:val="24"/>
          <w:lang w:val="fr-FR"/>
        </w:rPr>
      </w:pPr>
      <w:r>
        <w:rPr>
          <w:szCs w:val="24"/>
          <w:lang w:val="fr-FR"/>
        </w:rPr>
        <w:t>ARRÊT</w:t>
      </w:r>
    </w:p>
    <w:p w:rsidR="00835E9C" w:rsidRPr="00685582" w:rsidRDefault="00835E9C" w:rsidP="00E96E77">
      <w:pPr>
        <w:jc w:val="center"/>
        <w:rPr>
          <w:szCs w:val="24"/>
          <w:lang w:val="fr-FR"/>
        </w:rPr>
      </w:pPr>
    </w:p>
    <w:p w:rsidR="00835E9C" w:rsidRPr="00E96E77" w:rsidRDefault="00835E9C" w:rsidP="00E96E77">
      <w:pPr>
        <w:pStyle w:val="JuCase"/>
        <w:ind w:firstLine="0"/>
        <w:jc w:val="center"/>
        <w:rPr>
          <w:b w:val="0"/>
          <w:lang w:val="fr-FR"/>
        </w:rPr>
      </w:pPr>
    </w:p>
    <w:p w:rsidR="00835E9C" w:rsidRDefault="00835E9C" w:rsidP="00E96E77">
      <w:pPr>
        <w:pStyle w:val="ECHRPara"/>
        <w:ind w:firstLine="0"/>
        <w:jc w:val="center"/>
      </w:pPr>
    </w:p>
    <w:p w:rsidR="00835E9C" w:rsidRDefault="00835E9C" w:rsidP="00E96E77">
      <w:pPr>
        <w:pStyle w:val="ECHRPara"/>
        <w:ind w:firstLine="0"/>
        <w:jc w:val="center"/>
      </w:pPr>
    </w:p>
    <w:p w:rsidR="00835E9C" w:rsidRDefault="00835E9C" w:rsidP="00E96E77">
      <w:pPr>
        <w:pStyle w:val="ECHRPara"/>
        <w:ind w:firstLine="0"/>
        <w:jc w:val="center"/>
      </w:pPr>
    </w:p>
    <w:p w:rsidR="00835E9C" w:rsidRDefault="00835E9C" w:rsidP="00E96E77">
      <w:pPr>
        <w:pStyle w:val="ECHRPara"/>
        <w:ind w:firstLine="0"/>
        <w:jc w:val="center"/>
      </w:pPr>
      <w:r>
        <w:t>STRASBOURG</w:t>
      </w:r>
    </w:p>
    <w:p w:rsidR="00835E9C" w:rsidRDefault="00835E9C" w:rsidP="00E96E77">
      <w:pPr>
        <w:pStyle w:val="ECHRPara"/>
        <w:ind w:firstLine="0"/>
        <w:jc w:val="center"/>
      </w:pPr>
    </w:p>
    <w:p w:rsidR="00835E9C" w:rsidRDefault="00835E9C" w:rsidP="00E96E77">
      <w:pPr>
        <w:pStyle w:val="ECHRPara"/>
        <w:ind w:firstLine="0"/>
        <w:jc w:val="center"/>
      </w:pPr>
      <w:r>
        <w:t>13 mai 2014</w:t>
      </w:r>
    </w:p>
    <w:p w:rsidR="00835E9C" w:rsidRDefault="00835E9C" w:rsidP="00E96E77">
      <w:pPr>
        <w:pStyle w:val="ECHRPara"/>
        <w:ind w:firstLine="0"/>
        <w:jc w:val="center"/>
      </w:pPr>
    </w:p>
    <w:p w:rsidR="00835E9C" w:rsidRDefault="00835E9C" w:rsidP="00E96E77">
      <w:pPr>
        <w:pStyle w:val="ECHRPara"/>
        <w:ind w:firstLine="0"/>
        <w:jc w:val="center"/>
      </w:pPr>
    </w:p>
    <w:p w:rsidR="00835E9C" w:rsidRDefault="00835E9C" w:rsidP="00E96E77">
      <w:pPr>
        <w:pStyle w:val="ECHRPara"/>
        <w:ind w:firstLine="0"/>
        <w:jc w:val="center"/>
        <w:rPr>
          <w:i/>
          <w:sz w:val="22"/>
        </w:rPr>
      </w:pPr>
      <w:r w:rsidRPr="00A01A7C">
        <w:rPr>
          <w:i/>
          <w:sz w:val="22"/>
        </w:rPr>
        <w:t>Cet arrêt des définitif. Il peut subir des retouches de forme.</w:t>
      </w:r>
    </w:p>
    <w:p w:rsidR="00835E9C" w:rsidRDefault="00835E9C" w:rsidP="00BB3DA3">
      <w:pPr>
        <w:pStyle w:val="ECHRPara"/>
        <w:ind w:firstLine="0"/>
      </w:pPr>
    </w:p>
    <w:p w:rsidR="00835E9C" w:rsidRPr="00BB3DA3" w:rsidRDefault="00835E9C" w:rsidP="00BB3DA3">
      <w:pPr>
        <w:pStyle w:val="ECHRPara"/>
        <w:ind w:firstLine="0"/>
        <w:sectPr w:rsidR="00835E9C" w:rsidRPr="00BB3DA3" w:rsidSect="00BB3DA3">
          <w:headerReference w:type="default" r:id="rId7"/>
          <w:headerReference w:type="first" r:id="rId8"/>
          <w:footerReference w:type="first" r:id="rId9"/>
          <w:pgSz w:w="11906" w:h="16838" w:code="9"/>
          <w:pgMar w:top="2274" w:right="2274" w:bottom="2274" w:left="2274" w:header="1701" w:footer="720" w:gutter="0"/>
          <w:pgNumType w:start="1"/>
          <w:cols w:space="720"/>
          <w:titlePg/>
          <w:docGrid w:linePitch="326"/>
        </w:sectPr>
      </w:pPr>
    </w:p>
    <w:p w:rsidR="00835E9C" w:rsidRPr="00685582" w:rsidRDefault="00835E9C" w:rsidP="0068104D">
      <w:pPr>
        <w:pStyle w:val="JuCase"/>
        <w:rPr>
          <w:lang w:val="fr-FR"/>
        </w:rPr>
      </w:pPr>
      <w:r w:rsidRPr="00685582">
        <w:rPr>
          <w:lang w:val="fr-FR"/>
        </w:rPr>
        <w:t>En l</w:t>
      </w:r>
      <w:r>
        <w:rPr>
          <w:lang w:val="fr-FR"/>
        </w:rPr>
        <w:t>’</w:t>
      </w:r>
      <w:r w:rsidRPr="00685582">
        <w:rPr>
          <w:lang w:val="fr-FR"/>
        </w:rPr>
        <w:t xml:space="preserve">affaire </w:t>
      </w:r>
      <w:r>
        <w:rPr>
          <w:lang w:val="fr-FR"/>
        </w:rPr>
        <w:t>Marino et</w:t>
      </w:r>
      <w:r w:rsidRPr="00A23F2A">
        <w:rPr>
          <w:lang w:val="fr-FR"/>
        </w:rPr>
        <w:t xml:space="preserve"> Colacione </w:t>
      </w:r>
      <w:r>
        <w:rPr>
          <w:lang w:val="fr-FR"/>
        </w:rPr>
        <w:t>c. Italie</w:t>
      </w:r>
      <w:r w:rsidRPr="00685582">
        <w:rPr>
          <w:lang w:val="fr-FR"/>
        </w:rPr>
        <w:t>,</w:t>
      </w:r>
    </w:p>
    <w:p w:rsidR="00835E9C" w:rsidRPr="00E96E77" w:rsidRDefault="00835E9C" w:rsidP="0068104D">
      <w:pPr>
        <w:pStyle w:val="ECHRPara"/>
        <w:rPr>
          <w:lang w:val="fr-FR"/>
        </w:rPr>
      </w:pPr>
      <w:r w:rsidRPr="00E96E77">
        <w:rPr>
          <w:lang w:val="fr-FR"/>
        </w:rPr>
        <w:t>La Cour européenne des droits de l’homme (deuxième section), siégeant en un comité composéde :</w:t>
      </w:r>
    </w:p>
    <w:p w:rsidR="00835E9C" w:rsidRPr="00685582" w:rsidRDefault="00835E9C" w:rsidP="0068104D">
      <w:pPr>
        <w:pStyle w:val="ECHRDecisionBody"/>
      </w:pPr>
      <w:r w:rsidRPr="00BB3DA3">
        <w:tab/>
        <w:t>AndrásSajó</w:t>
      </w:r>
      <w:r>
        <w:t>,</w:t>
      </w:r>
      <w:r w:rsidRPr="00BB3DA3">
        <w:rPr>
          <w:i/>
        </w:rPr>
        <w:t xml:space="preserve"> président,</w:t>
      </w:r>
      <w:r>
        <w:rPr>
          <w:i/>
        </w:rPr>
        <w:br/>
      </w:r>
      <w:r w:rsidRPr="00BB3DA3">
        <w:tab/>
        <w:t>HelenKeller</w:t>
      </w:r>
      <w:r>
        <w:t>,</w:t>
      </w:r>
      <w:r>
        <w:rPr>
          <w:i/>
        </w:rPr>
        <w:br/>
      </w:r>
      <w:r w:rsidRPr="00BB3DA3">
        <w:tab/>
        <w:t>EgidijusKūris</w:t>
      </w:r>
      <w:r>
        <w:t>,</w:t>
      </w:r>
      <w:r w:rsidRPr="00BB3DA3">
        <w:rPr>
          <w:i/>
        </w:rPr>
        <w:t xml:space="preserve"> juges,</w:t>
      </w:r>
      <w:r w:rsidRPr="00685582">
        <w:br/>
        <w:t>et de</w:t>
      </w:r>
      <w:r>
        <w:t>Abel Campos</w:t>
      </w:r>
      <w:r w:rsidRPr="00685582">
        <w:t xml:space="preserve">, </w:t>
      </w:r>
      <w:r>
        <w:rPr>
          <w:i/>
        </w:rPr>
        <w:t>greffier adjoint</w:t>
      </w:r>
      <w:r w:rsidRPr="00685582">
        <w:rPr>
          <w:i/>
          <w:iCs/>
        </w:rPr>
        <w:t>d</w:t>
      </w:r>
      <w:r w:rsidRPr="00685582">
        <w:rPr>
          <w:i/>
        </w:rPr>
        <w:t>e section,</w:t>
      </w:r>
    </w:p>
    <w:p w:rsidR="00835E9C" w:rsidRPr="00685582" w:rsidRDefault="00835E9C" w:rsidP="0068104D">
      <w:pPr>
        <w:pStyle w:val="ECHRPara"/>
      </w:pPr>
      <w:r w:rsidRPr="00685582">
        <w:t xml:space="preserve">Après en avoir délibéré en chambre du conseil le </w:t>
      </w:r>
      <w:r>
        <w:t>15 avril 2014</w:t>
      </w:r>
      <w:r w:rsidRPr="00685582">
        <w:t>,</w:t>
      </w:r>
    </w:p>
    <w:p w:rsidR="00835E9C" w:rsidRPr="00E96E77" w:rsidRDefault="00835E9C" w:rsidP="0068104D">
      <w:pPr>
        <w:pStyle w:val="ECHRPara"/>
        <w:rPr>
          <w:lang w:val="fr-FR"/>
        </w:rPr>
      </w:pPr>
      <w:r w:rsidRPr="00E96E77">
        <w:rPr>
          <w:lang w:val="fr-FR"/>
        </w:rPr>
        <w:t>Rend l’arrêt que voici, adopté à cette date :</w:t>
      </w:r>
    </w:p>
    <w:p w:rsidR="00835E9C" w:rsidRPr="00685582" w:rsidRDefault="00835E9C" w:rsidP="00B33C50">
      <w:pPr>
        <w:pStyle w:val="ECHRTitle1"/>
      </w:pPr>
      <w:r w:rsidRPr="00685582">
        <w:t>PROCÉDURE</w:t>
      </w:r>
    </w:p>
    <w:p w:rsidR="00835E9C" w:rsidRPr="00E96E77" w:rsidRDefault="00835E9C" w:rsidP="0057087B">
      <w:pPr>
        <w:pStyle w:val="ECHRPara"/>
        <w:rPr>
          <w:lang w:val="fr-FR"/>
        </w:rPr>
      </w:pPr>
      <w:fldSimple w:instr=" SEQ level0 \*arabic ">
        <w:r>
          <w:rPr>
            <w:noProof/>
          </w:rPr>
          <w:t>1</w:t>
        </w:r>
      </w:fldSimple>
      <w:r w:rsidRPr="00685582">
        <w:t>.  </w:t>
      </w:r>
      <w:r w:rsidRPr="00E96E77">
        <w:rPr>
          <w:lang w:val="fr-FR"/>
        </w:rPr>
        <w:t>A l’origine de l’affaire se trouvent deux requêtes (n</w:t>
      </w:r>
      <w:r w:rsidRPr="00E96E77">
        <w:rPr>
          <w:vertAlign w:val="superscript"/>
          <w:lang w:val="fr-FR"/>
        </w:rPr>
        <w:t>os</w:t>
      </w:r>
      <w:r w:rsidRPr="00E96E77">
        <w:rPr>
          <w:lang w:val="fr-FR"/>
        </w:rPr>
        <w:t xml:space="preserve"> 45869/08 et 47348 /08) dirigées contre la République italienne et dont deux ressortissants de cet Etat, MM. Antonio Marino et Salvatore Colacione (« les requérants »), ont saisi la Cour le 24 septembre 2008en vertu de l’article 34 de la Convention de sauvegarde des droits de l’homme et des libertés fondamentales (« la Convention »).</w:t>
      </w:r>
    </w:p>
    <w:p w:rsidR="00835E9C" w:rsidRDefault="00835E9C" w:rsidP="0057087B">
      <w:pPr>
        <w:pStyle w:val="ECHRPara"/>
      </w:pPr>
      <w:fldSimple w:instr=" SEQ level0 \*arabic ">
        <w:r>
          <w:rPr>
            <w:noProof/>
          </w:rPr>
          <w:t>2</w:t>
        </w:r>
      </w:fldSimple>
      <w:r w:rsidRPr="001B3444">
        <w:t>.  Les requérants ont été représentés par M</w:t>
      </w:r>
      <w:r w:rsidRPr="001B3444">
        <w:rPr>
          <w:vertAlign w:val="superscript"/>
        </w:rPr>
        <w:t>e</w:t>
      </w:r>
      <w:r w:rsidRPr="001B3444">
        <w:t> N. Raffaelli, avocat</w:t>
      </w:r>
      <w:r w:rsidRPr="008B6085">
        <w:t xml:space="preserve"> à </w:t>
      </w:r>
      <w:r>
        <w:t>Catanzaro</w:t>
      </w:r>
      <w:r w:rsidRPr="008B6085">
        <w:t xml:space="preserve">. Le gouvernement </w:t>
      </w:r>
      <w:r>
        <w:t>italien</w:t>
      </w:r>
      <w:r w:rsidRPr="008B6085">
        <w:t xml:space="preserve"> (« le Gouvernement ») a été représenté par son agent, </w:t>
      </w:r>
      <w:r w:rsidRPr="0057087B">
        <w:t>M</w:t>
      </w:r>
      <w:r w:rsidRPr="0057087B">
        <w:rPr>
          <w:vertAlign w:val="superscript"/>
        </w:rPr>
        <w:t>me</w:t>
      </w:r>
      <w:r w:rsidRPr="0057087B">
        <w:t xml:space="preserve"> E. Spatafora</w:t>
      </w:r>
      <w:r w:rsidRPr="008B6085">
        <w:t>.</w:t>
      </w:r>
    </w:p>
    <w:p w:rsidR="00835E9C" w:rsidRPr="00685582" w:rsidRDefault="00835E9C" w:rsidP="0057087B">
      <w:pPr>
        <w:pStyle w:val="ECHRPara"/>
        <w:rPr>
          <w:szCs w:val="24"/>
          <w:lang w:eastAsia="en-GB"/>
        </w:rPr>
      </w:pPr>
      <w:fldSimple w:instr=" SEQ level0 \*arabic ">
        <w:r>
          <w:rPr>
            <w:noProof/>
          </w:rPr>
          <w:t>3</w:t>
        </w:r>
      </w:fldSimple>
      <w:r w:rsidRPr="001B3444">
        <w:t>.  Le 25 janvier 2010, les requêtes ont été communiquées au Gouvernement.</w:t>
      </w:r>
    </w:p>
    <w:p w:rsidR="00835E9C" w:rsidRPr="00685582" w:rsidRDefault="00835E9C" w:rsidP="00B33C50">
      <w:pPr>
        <w:pStyle w:val="ECHRTitle1"/>
        <w:tabs>
          <w:tab w:val="left" w:pos="5387"/>
        </w:tabs>
      </w:pPr>
      <w:r w:rsidRPr="00685582">
        <w:t>EN FAIT</w:t>
      </w:r>
    </w:p>
    <w:p w:rsidR="00835E9C" w:rsidRPr="00685582" w:rsidRDefault="00835E9C" w:rsidP="00B33C50">
      <w:pPr>
        <w:pStyle w:val="ECHRHeading1"/>
      </w:pPr>
      <w:r w:rsidRPr="00685582">
        <w:t>I.  LES CIRCONSTANCES DE L</w:t>
      </w:r>
      <w:r>
        <w:t>’</w:t>
      </w:r>
      <w:r w:rsidRPr="00685582">
        <w:t>ESPÈCE</w:t>
      </w:r>
    </w:p>
    <w:p w:rsidR="00835E9C" w:rsidRPr="00E96E77" w:rsidRDefault="00835E9C" w:rsidP="007D5B63">
      <w:pPr>
        <w:pStyle w:val="ECHRPara"/>
        <w:rPr>
          <w:lang w:val="fr-FR"/>
        </w:rPr>
      </w:pPr>
      <w:fldSimple w:instr=" SEQ level0 \*arabic ">
        <w:r>
          <w:rPr>
            <w:noProof/>
          </w:rPr>
          <w:t>4</w:t>
        </w:r>
      </w:fldSimple>
      <w:r>
        <w:t>.  </w:t>
      </w:r>
      <w:r w:rsidRPr="00C42882">
        <w:t>Les requérants étai</w:t>
      </w:r>
      <w:r>
        <w:t>ent employés par la Province de Catanzaro et exerçaient d</w:t>
      </w:r>
      <w:r w:rsidRPr="00C42882">
        <w:t>es fonctions</w:t>
      </w:r>
      <w:r w:rsidRPr="00846A50">
        <w:t xml:space="preserve"> relevant du personnel des écoles</w:t>
      </w:r>
      <w:r>
        <w:t xml:space="preserve"> (</w:t>
      </w:r>
      <w:r w:rsidRPr="00C42882">
        <w:t>assistants administratifs, collaborateurs, assistants techniques et responsables administratifs dans les écoles</w:t>
      </w:r>
      <w:r>
        <w:t xml:space="preserve"> : </w:t>
      </w:r>
      <w:r w:rsidRPr="00C42882">
        <w:t xml:space="preserve">le « personnel ATA »). </w:t>
      </w:r>
      <w:r w:rsidRPr="00E96E77">
        <w:rPr>
          <w:lang w:val="fr-FR"/>
        </w:rPr>
        <w:t>Ils avaient droit à un salaire de base, assorti d’indemnités accessoires.</w:t>
      </w:r>
    </w:p>
    <w:p w:rsidR="00835E9C" w:rsidRPr="00E96E77" w:rsidRDefault="00835E9C" w:rsidP="007D5B63">
      <w:pPr>
        <w:pStyle w:val="ECHRPara"/>
        <w:rPr>
          <w:lang w:val="fr-FR"/>
        </w:rPr>
      </w:pPr>
      <w:fldSimple w:instr=" SEQ level0 \*arabic ">
        <w:r>
          <w:rPr>
            <w:noProof/>
          </w:rPr>
          <w:t>5</w:t>
        </w:r>
      </w:fldSimple>
      <w:r>
        <w:t>.  </w:t>
      </w:r>
      <w:r w:rsidRPr="00E96E77">
        <w:rPr>
          <w:lang w:val="fr-FR"/>
        </w:rPr>
        <w:t>Suite au transfert du personnel de la fonction publique territoriale vers la fonction publique de l’Etat, prévu par la loi n</w:t>
      </w:r>
      <w:r w:rsidRPr="00E96E77">
        <w:rPr>
          <w:vertAlign w:val="superscript"/>
          <w:lang w:val="fr-FR"/>
        </w:rPr>
        <w:t xml:space="preserve">o </w:t>
      </w:r>
      <w:r w:rsidRPr="00E96E77">
        <w:rPr>
          <w:lang w:val="fr-FR"/>
        </w:rPr>
        <w:t>124 du 3 mai 1999, les requérants furent employés, à partir du 31 décembre 1999, par le ministère de l’Education Nationale (« le ministère »). Les employés déjà en poste dudit ministère, exerçant les mêmes fonctions que les requérants, avaient droit à un traitement de base progressif selon l’ancienneté de service.</w:t>
      </w:r>
    </w:p>
    <w:p w:rsidR="00835E9C" w:rsidRPr="00E96E77" w:rsidRDefault="00835E9C" w:rsidP="007D5B63">
      <w:pPr>
        <w:pStyle w:val="ECHRPara"/>
        <w:rPr>
          <w:lang w:val="fr-FR"/>
        </w:rPr>
      </w:pPr>
      <w:fldSimple w:instr=" SEQ level0 \*arabic ">
        <w:r>
          <w:rPr>
            <w:noProof/>
          </w:rPr>
          <w:t>6</w:t>
        </w:r>
      </w:fldSimple>
      <w:r>
        <w:t>.  </w:t>
      </w:r>
      <w:r w:rsidRPr="00E96E77">
        <w:rPr>
          <w:lang w:val="fr-FR"/>
        </w:rPr>
        <w:t>Selon l’article 8 de la loi n</w:t>
      </w:r>
      <w:r w:rsidRPr="00E96E77">
        <w:rPr>
          <w:vertAlign w:val="superscript"/>
          <w:lang w:val="fr-FR"/>
        </w:rPr>
        <w:t>o</w:t>
      </w:r>
      <w:r w:rsidRPr="00E96E77">
        <w:rPr>
          <w:lang w:val="fr-FR"/>
        </w:rPr>
        <w:t xml:space="preserve"> 124 susmentionnée,l’ancienneté de service acquise par les requérants auprès des collectivités locales devait être reconnue à toutes fins juridiques et économiques. Toutefois,le ministère attribua aux requérants une ancienneté fictive, en transformant la rétribution de base perçue des collectivités locales à la date du 31 décembre 1999 en années d’ancienneté  et, au mépris du contrat collectif national de l’Ecole, il calcula leur traitement pécuniaire sans tenir compte de leur ancienneté de service réelle, acquise jusqu’à cette date. En outre, en transformant la rétribution de base en années d’ancienneté fictive, le ministère enleva des dernières fiches de paie des requérants tous les éléments indemnitaires dont leurs salaires étaient régulièrement assortis jusqu’au 31  décembre 1999.</w:t>
      </w:r>
    </w:p>
    <w:p w:rsidR="00835E9C" w:rsidRPr="00E96E77" w:rsidRDefault="00835E9C" w:rsidP="007D5B63">
      <w:pPr>
        <w:pStyle w:val="ECHRPara"/>
        <w:rPr>
          <w:lang w:val="fr-FR"/>
        </w:rPr>
      </w:pPr>
      <w:fldSimple w:instr=" SEQ level0 \*arabic ">
        <w:r>
          <w:rPr>
            <w:noProof/>
          </w:rPr>
          <w:t>7</w:t>
        </w:r>
      </w:fldSimple>
      <w:r>
        <w:t>.  </w:t>
      </w:r>
      <w:r w:rsidRPr="00E96E77">
        <w:rPr>
          <w:lang w:val="fr-FR"/>
        </w:rPr>
        <w:t>Les requérants saisirent le tribunal de Catanzaro afin d’obtenir la reconnaissance juridique et économique de l’ancienneté acquise auprès de leurs employeurs locaux d’origine et, en conséquence, le versement de la différence de rétribution née à partir du 1</w:t>
      </w:r>
      <w:r w:rsidRPr="00E96E77">
        <w:rPr>
          <w:vertAlign w:val="superscript"/>
          <w:lang w:val="fr-FR"/>
        </w:rPr>
        <w:t>er</w:t>
      </w:r>
      <w:r w:rsidRPr="00E96E77">
        <w:rPr>
          <w:lang w:val="fr-FR"/>
        </w:rPr>
        <w:t xml:space="preserve"> janvier 2000. Ils firent valoir qu’ils percevaient un salaire qui ne correspondait pas à leur ancienneté et que ce salaire était ainsi inférieur à celui des fonctionnaires qui avaient toujours été employés par le ministère.</w:t>
      </w:r>
    </w:p>
    <w:p w:rsidR="00835E9C" w:rsidRPr="00E96E77" w:rsidRDefault="00835E9C" w:rsidP="007D5B63">
      <w:pPr>
        <w:pStyle w:val="ECHRPara"/>
        <w:rPr>
          <w:color w:val="000000"/>
          <w:lang w:val="fr-FR"/>
        </w:rPr>
      </w:pPr>
      <w:fldSimple w:instr=" SEQ level0 \*arabic ">
        <w:r>
          <w:rPr>
            <w:noProof/>
          </w:rPr>
          <w:t>8</w:t>
        </w:r>
      </w:fldSimple>
      <w:r>
        <w:t>.  </w:t>
      </w:r>
      <w:r w:rsidRPr="00C42882">
        <w:t xml:space="preserve">Par </w:t>
      </w:r>
      <w:r>
        <w:t xml:space="preserve">un arrêt du 16 avril 2004, le tribunal rejeta le recours </w:t>
      </w:r>
      <w:r w:rsidRPr="00C42882">
        <w:t>les recours des requérants</w:t>
      </w:r>
      <w:r>
        <w:t>. Ces derniers</w:t>
      </w:r>
      <w:r>
        <w:rPr>
          <w:color w:val="000000"/>
        </w:rPr>
        <w:t>interjetèrent</w:t>
      </w:r>
      <w:r w:rsidRPr="007D5B63">
        <w:rPr>
          <w:color w:val="000000"/>
        </w:rPr>
        <w:t xml:space="preserve"> appel de ce jugement. </w:t>
      </w:r>
      <w:r w:rsidRPr="00E96E77">
        <w:rPr>
          <w:color w:val="000000"/>
          <w:lang w:val="fr-FR"/>
        </w:rPr>
        <w:t xml:space="preserve">Ils firent valoir que le jugement n’était pas conforme à la jurisprudence de la Cour de cassation selon laquelle il ne pouvait être dérogé à l’article 8 de la loi </w:t>
      </w:r>
      <w:r w:rsidRPr="00E96E77">
        <w:rPr>
          <w:lang w:val="fr-FR"/>
        </w:rPr>
        <w:t>n</w:t>
      </w:r>
      <w:r w:rsidRPr="00E96E77">
        <w:rPr>
          <w:vertAlign w:val="superscript"/>
          <w:lang w:val="fr-FR"/>
        </w:rPr>
        <w:t>o</w:t>
      </w:r>
      <w:r w:rsidRPr="00E96E77">
        <w:rPr>
          <w:color w:val="000000"/>
          <w:lang w:val="fr-FR"/>
        </w:rPr>
        <w:t xml:space="preserve"> 124 de 1999.</w:t>
      </w:r>
    </w:p>
    <w:p w:rsidR="00835E9C" w:rsidRPr="00E96E77" w:rsidRDefault="00835E9C" w:rsidP="007D5B63">
      <w:pPr>
        <w:pStyle w:val="ECHRPara"/>
        <w:rPr>
          <w:lang w:val="fr-FR"/>
        </w:rPr>
      </w:pPr>
      <w:fldSimple w:instr=" SEQ level0 \*arabic ">
        <w:r>
          <w:rPr>
            <w:noProof/>
          </w:rPr>
          <w:t>9</w:t>
        </w:r>
      </w:fldSimple>
      <w:r>
        <w:t>.  </w:t>
      </w:r>
      <w:r w:rsidRPr="00DC10D2">
        <w:t>Alors que cesprocédures étaient pendantes, le Parlement adopta la loi de finances pour 2006 (« la loi n</w:t>
      </w:r>
      <w:r w:rsidRPr="001B3444">
        <w:rPr>
          <w:vertAlign w:val="superscript"/>
        </w:rPr>
        <w:t>o</w:t>
      </w:r>
      <w:r w:rsidRPr="00DC10D2">
        <w:t xml:space="preserve"> 266 »). </w:t>
      </w:r>
      <w:r w:rsidRPr="00E96E77">
        <w:rPr>
          <w:lang w:val="fr-FR"/>
        </w:rPr>
        <w:t>L’article 1, alinéa 218, de ladite loi était intitulé « interprétation authentique (</w:t>
      </w:r>
      <w:r w:rsidRPr="00E96E77">
        <w:rPr>
          <w:i/>
          <w:iCs/>
          <w:lang w:val="fr-FR"/>
        </w:rPr>
        <w:t>interpretazione autentica</w:t>
      </w:r>
      <w:r w:rsidRPr="00E96E77">
        <w:rPr>
          <w:lang w:val="fr-FR"/>
        </w:rPr>
        <w:t>) de l’article 8 de la loi n</w:t>
      </w:r>
      <w:r w:rsidRPr="00E96E77">
        <w:rPr>
          <w:vertAlign w:val="superscript"/>
          <w:lang w:val="fr-FR"/>
        </w:rPr>
        <w:t xml:space="preserve">o </w:t>
      </w:r>
      <w:r w:rsidRPr="00E96E77">
        <w:rPr>
          <w:lang w:val="fr-FR"/>
        </w:rPr>
        <w:t>124 de 1999 » ; il prévoyait que le personnel ATA devait être intégré dans les tableaux de paye de la nouvelle administration sur la base du traitement salarial global des intéressés au moment de la mutation.</w:t>
      </w:r>
    </w:p>
    <w:p w:rsidR="00835E9C" w:rsidRPr="00E96E77" w:rsidRDefault="00835E9C" w:rsidP="007D5B63">
      <w:pPr>
        <w:pStyle w:val="ECHRPara"/>
        <w:rPr>
          <w:lang w:val="fr-FR"/>
        </w:rPr>
      </w:pPr>
      <w:fldSimple w:instr=" SEQ level0 \*arabic ">
        <w:r>
          <w:rPr>
            <w:noProof/>
          </w:rPr>
          <w:t>10</w:t>
        </w:r>
      </w:fldSimple>
      <w:r>
        <w:t>.  </w:t>
      </w:r>
      <w:r w:rsidRPr="00E96E77">
        <w:rPr>
          <w:lang w:val="fr-FR"/>
        </w:rPr>
        <w:t>Par un arrêt du 26 juillet, 2007, devenu définitif le 24 mars 2008, la cour d’appel, compte tenu de la nouvelle loi, rejeta le recours des requérants.</w:t>
      </w:r>
    </w:p>
    <w:p w:rsidR="00835E9C" w:rsidRPr="00E96E77" w:rsidRDefault="00835E9C" w:rsidP="007D5B63">
      <w:pPr>
        <w:pStyle w:val="ECHRPara"/>
        <w:rPr>
          <w:lang w:val="fr-FR"/>
        </w:rPr>
      </w:pPr>
      <w:fldSimple w:instr=" SEQ level0 \*arabic ">
        <w:r>
          <w:rPr>
            <w:noProof/>
          </w:rPr>
          <w:t>11</w:t>
        </w:r>
      </w:fldSimple>
      <w:r>
        <w:t>.  </w:t>
      </w:r>
      <w:r w:rsidRPr="00E96E77">
        <w:rPr>
          <w:lang w:val="fr-FR"/>
        </w:rPr>
        <w:t>Les requérants ont perdu la reconnaissance de l’ancienneté acquise auprès des autorités locales d’origine. De surcroît, ils ont vu leurs salaires devenir inférieurs à ceux d’autres membres du personnel ATA qui avaient obtenu gain de cause par des décisions ayant acquis l’autorité de la chose jugée avant l’entrée en vigueur de la loi n</w:t>
      </w:r>
      <w:r w:rsidRPr="00E96E77">
        <w:rPr>
          <w:vertAlign w:val="superscript"/>
          <w:lang w:val="fr-FR"/>
        </w:rPr>
        <w:t>o</w:t>
      </w:r>
      <w:r w:rsidRPr="00E96E77">
        <w:rPr>
          <w:lang w:val="fr-FR"/>
        </w:rPr>
        <w:t xml:space="preserve"> 266.</w:t>
      </w:r>
    </w:p>
    <w:p w:rsidR="00835E9C" w:rsidRPr="007414B2" w:rsidRDefault="00835E9C" w:rsidP="007D5B63">
      <w:pPr>
        <w:pStyle w:val="ECHRHeading1"/>
        <w:ind w:left="0" w:firstLine="0"/>
      </w:pPr>
      <w:r w:rsidRPr="007414B2">
        <w:t>II.  LE DROIT ET LA PRATIQUE INTERNES PERTINENTS</w:t>
      </w:r>
    </w:p>
    <w:p w:rsidR="00835E9C" w:rsidRPr="007414B2" w:rsidRDefault="00835E9C" w:rsidP="007D5B63">
      <w:pPr>
        <w:pStyle w:val="ECHRPara"/>
        <w:outlineLvl w:val="0"/>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12</w:t>
      </w:r>
      <w:r>
        <w:rPr>
          <w:bCs/>
          <w:szCs w:val="28"/>
        </w:rPr>
        <w:fldChar w:fldCharType="end"/>
      </w:r>
      <w:r>
        <w:rPr>
          <w:bCs/>
          <w:szCs w:val="28"/>
        </w:rPr>
        <w:t>.  </w:t>
      </w:r>
      <w:r w:rsidRPr="00C06B2C">
        <w:rPr>
          <w:bCs/>
          <w:szCs w:val="28"/>
        </w:rPr>
        <w:t xml:space="preserve">Le droit </w:t>
      </w:r>
      <w:r>
        <w:rPr>
          <w:bCs/>
          <w:szCs w:val="28"/>
        </w:rPr>
        <w:t xml:space="preserve">et la pratique </w:t>
      </w:r>
      <w:r w:rsidRPr="00C06B2C">
        <w:rPr>
          <w:bCs/>
          <w:szCs w:val="28"/>
        </w:rPr>
        <w:t>interne</w:t>
      </w:r>
      <w:r>
        <w:rPr>
          <w:bCs/>
          <w:szCs w:val="28"/>
        </w:rPr>
        <w:t>s</w:t>
      </w:r>
      <w:r w:rsidRPr="00C06B2C">
        <w:rPr>
          <w:bCs/>
          <w:szCs w:val="28"/>
        </w:rPr>
        <w:t xml:space="preserve"> pertinent se trouve</w:t>
      </w:r>
      <w:r>
        <w:rPr>
          <w:bCs/>
          <w:szCs w:val="28"/>
        </w:rPr>
        <w:t>nt</w:t>
      </w:r>
      <w:r w:rsidRPr="00C06B2C">
        <w:rPr>
          <w:bCs/>
          <w:szCs w:val="28"/>
        </w:rPr>
        <w:t xml:space="preserve"> décrit</w:t>
      </w:r>
      <w:r>
        <w:rPr>
          <w:bCs/>
          <w:szCs w:val="28"/>
        </w:rPr>
        <w:t>s</w:t>
      </w:r>
      <w:r w:rsidRPr="00C06B2C">
        <w:rPr>
          <w:bCs/>
          <w:szCs w:val="28"/>
        </w:rPr>
        <w:t xml:space="preserve"> dans </w:t>
      </w:r>
      <w:r>
        <w:rPr>
          <w:bCs/>
          <w:szCs w:val="28"/>
        </w:rPr>
        <w:t xml:space="preserve">les arrêts </w:t>
      </w:r>
      <w:r w:rsidRPr="00C06B2C">
        <w:rPr>
          <w:bCs/>
          <w:i/>
          <w:szCs w:val="28"/>
        </w:rPr>
        <w:t>Agrati et autres c. Italie</w:t>
      </w:r>
      <w:r w:rsidRPr="00C06B2C">
        <w:rPr>
          <w:bCs/>
          <w:szCs w:val="28"/>
        </w:rPr>
        <w:t xml:space="preserve">, </w:t>
      </w:r>
      <w:r>
        <w:rPr>
          <w:bCs/>
          <w:szCs w:val="28"/>
        </w:rPr>
        <w:t>(</w:t>
      </w:r>
      <w:r w:rsidRPr="00C06B2C">
        <w:rPr>
          <w:bCs/>
          <w:szCs w:val="28"/>
        </w:rPr>
        <w:t>n</w:t>
      </w:r>
      <w:r w:rsidRPr="00C06B2C">
        <w:rPr>
          <w:bCs/>
          <w:szCs w:val="28"/>
          <w:vertAlign w:val="superscript"/>
        </w:rPr>
        <w:t>os</w:t>
      </w:r>
      <w:r>
        <w:rPr>
          <w:bCs/>
          <w:szCs w:val="28"/>
        </w:rPr>
        <w:t>43549/08, 6107/09 et 5087/09, 7 </w:t>
      </w:r>
      <w:r w:rsidRPr="00C06B2C">
        <w:rPr>
          <w:bCs/>
          <w:szCs w:val="28"/>
        </w:rPr>
        <w:t>juin</w:t>
      </w:r>
      <w:r>
        <w:rPr>
          <w:bCs/>
          <w:szCs w:val="28"/>
        </w:rPr>
        <w:t> 2011) et</w:t>
      </w:r>
      <w:r w:rsidRPr="00C06B2C">
        <w:rPr>
          <w:bCs/>
          <w:i/>
          <w:szCs w:val="28"/>
        </w:rPr>
        <w:t>De Rosa c. Italie</w:t>
      </w:r>
      <w:r w:rsidRPr="00C06B2C">
        <w:rPr>
          <w:bCs/>
          <w:szCs w:val="28"/>
        </w:rPr>
        <w:t xml:space="preserve">, </w:t>
      </w:r>
      <w:r>
        <w:rPr>
          <w:bCs/>
          <w:szCs w:val="28"/>
        </w:rPr>
        <w:t>(</w:t>
      </w:r>
      <w:r w:rsidRPr="00C06B2C">
        <w:rPr>
          <w:bCs/>
          <w:szCs w:val="28"/>
        </w:rPr>
        <w:t>n</w:t>
      </w:r>
      <w:r w:rsidRPr="00C06B2C">
        <w:rPr>
          <w:bCs/>
          <w:szCs w:val="28"/>
          <w:vertAlign w:val="superscript"/>
        </w:rPr>
        <w:t>os</w:t>
      </w:r>
      <w:r w:rsidRPr="00C06B2C">
        <w:rPr>
          <w:bCs/>
          <w:szCs w:val="28"/>
        </w:rPr>
        <w:t xml:space="preserve"> 52888/08, 58528/08, 59194/08, 60462/08, 60473/08, 60628/08, 61116/08, 61131/08, 61139/08, 61143/08, 610/09, 4995/09, 5068/09 et 5141/09, 11 décembre 2012</w:t>
      </w:r>
      <w:r>
        <w:rPr>
          <w:bCs/>
          <w:szCs w:val="28"/>
        </w:rPr>
        <w:t>).</w:t>
      </w:r>
    </w:p>
    <w:p w:rsidR="00835E9C" w:rsidRPr="007414B2" w:rsidRDefault="00835E9C" w:rsidP="007D5B63">
      <w:pPr>
        <w:pStyle w:val="ECHRTitle1"/>
      </w:pPr>
      <w:r w:rsidRPr="007414B2">
        <w:t>EN DROIT</w:t>
      </w:r>
    </w:p>
    <w:p w:rsidR="00835E9C" w:rsidRPr="007414B2" w:rsidRDefault="00835E9C" w:rsidP="007D5B63">
      <w:pPr>
        <w:pStyle w:val="ECHRHeading1"/>
      </w:pPr>
      <w:r>
        <w:t>I.  </w:t>
      </w:r>
      <w:r w:rsidRPr="007414B2">
        <w:t>SUR LA JONCTION DES REQUÊTES</w:t>
      </w:r>
    </w:p>
    <w:p w:rsidR="00835E9C" w:rsidRPr="00E96E77" w:rsidRDefault="00835E9C" w:rsidP="007D5B63">
      <w:pPr>
        <w:pStyle w:val="ECHRPara"/>
        <w:outlineLvl w:val="0"/>
        <w:rPr>
          <w:bCs/>
          <w:szCs w:val="28"/>
          <w:lang w:val="fr-FR"/>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13</w:t>
      </w:r>
      <w:r w:rsidRPr="007414B2">
        <w:rPr>
          <w:bCs/>
          <w:szCs w:val="28"/>
        </w:rPr>
        <w:fldChar w:fldCharType="end"/>
      </w:r>
      <w:r w:rsidRPr="007414B2">
        <w:rPr>
          <w:bCs/>
          <w:szCs w:val="28"/>
        </w:rPr>
        <w:t>.  </w:t>
      </w:r>
      <w:r w:rsidRPr="00E96E77">
        <w:rPr>
          <w:bCs/>
          <w:szCs w:val="28"/>
          <w:lang w:val="fr-FR"/>
        </w:rPr>
        <w:t>Compte tenu de la similitude des requêtes quant aux faits et au problème de fond qu’elles posent, la Cour estime nécessaire de les joindre et décide de les examiner conjointement dans un seul arrêt.</w:t>
      </w:r>
    </w:p>
    <w:p w:rsidR="00835E9C" w:rsidRPr="00D5385B" w:rsidRDefault="00835E9C" w:rsidP="00D5385B">
      <w:pPr>
        <w:pStyle w:val="ECHRHeading1"/>
        <w:rPr>
          <w:szCs w:val="20"/>
        </w:rPr>
      </w:pPr>
      <w:r w:rsidRPr="007414B2">
        <w:t>II.  </w:t>
      </w:r>
      <w:r w:rsidRPr="00D5385B">
        <w:rPr>
          <w:szCs w:val="20"/>
        </w:rPr>
        <w:t>SUR LA VIOLATION ALLÉGUÉE DES ARTICLES 6 DE LA CONVENTION ET 1 DU PROTOCOLE N</w:t>
      </w:r>
      <w:r w:rsidRPr="00D5385B">
        <w:rPr>
          <w:szCs w:val="20"/>
          <w:vertAlign w:val="superscript"/>
        </w:rPr>
        <w:t xml:space="preserve">o </w:t>
      </w:r>
      <w:r w:rsidRPr="00D5385B">
        <w:rPr>
          <w:szCs w:val="20"/>
        </w:rPr>
        <w:t>1</w:t>
      </w:r>
    </w:p>
    <w:p w:rsidR="00835E9C" w:rsidRPr="00E96E77" w:rsidRDefault="00835E9C" w:rsidP="007D5B63">
      <w:pPr>
        <w:pStyle w:val="ECHRPara"/>
        <w:outlineLvl w:val="0"/>
        <w:rPr>
          <w:bCs/>
          <w:szCs w:val="28"/>
          <w:lang w:val="fr-FR"/>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14</w:t>
      </w:r>
      <w:r w:rsidRPr="007414B2">
        <w:rPr>
          <w:bCs/>
          <w:szCs w:val="28"/>
        </w:rPr>
        <w:fldChar w:fldCharType="end"/>
      </w:r>
      <w:r w:rsidRPr="007414B2">
        <w:rPr>
          <w:bCs/>
          <w:szCs w:val="28"/>
        </w:rPr>
        <w:t>.  </w:t>
      </w:r>
      <w:r w:rsidRPr="00E96E77">
        <w:rPr>
          <w:bCs/>
          <w:szCs w:val="28"/>
          <w:lang w:val="fr-FR"/>
        </w:rPr>
        <w:t xml:space="preserve">Les requérants se plaignent de l’intervention législative en cours de procédure qui, selon eux, a porté atteinte à leur droit à un procès équitable. </w:t>
      </w:r>
      <w:r w:rsidRPr="007414B2">
        <w:rPr>
          <w:bCs/>
          <w:szCs w:val="28"/>
        </w:rPr>
        <w:t xml:space="preserve">Ils indiquent que la jurisprudence avait déjà reconnu que les anciens fonctionnaires territoriaux avaient droit à la reconnaissance de leurs anciennetés acquises auprès des autorités locales de provenance. </w:t>
      </w:r>
      <w:r w:rsidRPr="00E96E77">
        <w:rPr>
          <w:bCs/>
          <w:szCs w:val="28"/>
          <w:lang w:val="fr-FR"/>
        </w:rPr>
        <w:t>Sans intervention législative, ils pouvaient donc avoir une espérance légitime, pratiquement une certitude, d’obtenir satisfaction. Les requérants estiment que seul l’intérêt financier de l’administration, qui ne suffisait pas à caractériser un motif impérieux d’intérêt général, a motivé l’intervention législative en question. En outre, les requérants estiment que le caractère rétroactif de l’article 1 de la loi de finances pour 2006 les a privés de leurs biens dans la mesure où cette disposition a mis fin de manière définitive au litige les opposant à l’administration</w:t>
      </w:r>
    </w:p>
    <w:p w:rsidR="00835E9C" w:rsidRPr="00E96E77" w:rsidRDefault="00835E9C" w:rsidP="00D5385B">
      <w:pPr>
        <w:pStyle w:val="ECHRPara"/>
        <w:rPr>
          <w:lang w:val="fr-FR"/>
        </w:rPr>
      </w:pPr>
      <w:r w:rsidRPr="00E96E77">
        <w:rPr>
          <w:lang w:val="fr-FR"/>
        </w:rPr>
        <w:t>Ils invoquent l’article 6 de la Convention ainsi que l’article 1 du Protocole n</w:t>
      </w:r>
      <w:r w:rsidRPr="00E96E77">
        <w:rPr>
          <w:vertAlign w:val="superscript"/>
          <w:lang w:val="fr-FR"/>
        </w:rPr>
        <w:t>o</w:t>
      </w:r>
      <w:r w:rsidRPr="00E96E77">
        <w:rPr>
          <w:lang w:val="fr-FR"/>
        </w:rPr>
        <w:t xml:space="preserve"> 1, ainsi libellés en leurs parties pertinentes :</w:t>
      </w:r>
    </w:p>
    <w:p w:rsidR="00835E9C" w:rsidRPr="00DE02DD" w:rsidRDefault="00835E9C" w:rsidP="00D5385B">
      <w:pPr>
        <w:pStyle w:val="ECHRTitleCentre3"/>
      </w:pPr>
      <w:r w:rsidRPr="00DE02DD">
        <w:t>Article 6 § 1</w:t>
      </w:r>
    </w:p>
    <w:p w:rsidR="00835E9C" w:rsidRPr="00DE02DD" w:rsidRDefault="00835E9C" w:rsidP="00D5385B">
      <w:pPr>
        <w:pStyle w:val="ECHRParaQuote"/>
        <w:ind w:left="284" w:right="566" w:firstLine="283"/>
      </w:pPr>
      <w:r w:rsidRPr="00DE02DD">
        <w:t>« Toute personne a droit à ce que sa cause soit entendue (...) par un tribunal (...) qui décidera (...) des contestations sur ses droits et obligations de caractère civil (...) »</w:t>
      </w:r>
    </w:p>
    <w:p w:rsidR="00835E9C" w:rsidRPr="00DE02DD" w:rsidRDefault="00835E9C" w:rsidP="00D5385B">
      <w:pPr>
        <w:pStyle w:val="ECHRTitleCentre3"/>
      </w:pPr>
      <w:r w:rsidRPr="00DE02DD">
        <w:t>Article 1 du Protocole n</w:t>
      </w:r>
      <w:r w:rsidRPr="00DE02DD">
        <w:rPr>
          <w:vertAlign w:val="superscript"/>
        </w:rPr>
        <w:t>o</w:t>
      </w:r>
      <w:r w:rsidRPr="00DE02DD">
        <w:t xml:space="preserve"> 1</w:t>
      </w:r>
    </w:p>
    <w:p w:rsidR="00835E9C" w:rsidRPr="00DE02DD" w:rsidRDefault="00835E9C" w:rsidP="00D5385B">
      <w:pPr>
        <w:pStyle w:val="ECHRParaQuote"/>
        <w:ind w:left="284" w:right="566" w:firstLine="283"/>
      </w:pPr>
      <w:r w:rsidRPr="00DE02DD">
        <w:t>« Toute personne physique ou morale a droit au respect de ses biens. Nul ne peut être privé de sa propriété que pour cause d</w:t>
      </w:r>
      <w:r>
        <w:t>’</w:t>
      </w:r>
      <w:r w:rsidRPr="00DE02DD">
        <w:t>utilité publique et dans les conditions prévues par la loi et les principes généraux du droit international. »</w:t>
      </w:r>
    </w:p>
    <w:p w:rsidR="00835E9C" w:rsidRPr="00E96E77" w:rsidRDefault="00835E9C" w:rsidP="00D5385B">
      <w:pPr>
        <w:pStyle w:val="ECHRPara"/>
        <w:rPr>
          <w:lang w:val="fr-FR"/>
        </w:rPr>
      </w:pPr>
      <w:fldSimple w:instr=" SEQ level0 \*arabic ">
        <w:r>
          <w:rPr>
            <w:noProof/>
          </w:rPr>
          <w:t>15</w:t>
        </w:r>
      </w:fldSimple>
      <w:r w:rsidRPr="00DE02DD">
        <w:t>.  </w:t>
      </w:r>
      <w:r w:rsidRPr="00E96E77">
        <w:rPr>
          <w:lang w:val="fr-FR"/>
        </w:rPr>
        <w:t>Le Gouvernement s’oppose à cette thèse.</w:t>
      </w:r>
    </w:p>
    <w:p w:rsidR="00835E9C" w:rsidRPr="007414B2" w:rsidRDefault="00835E9C" w:rsidP="007D5B63">
      <w:pPr>
        <w:pStyle w:val="ECHRHeading2"/>
      </w:pPr>
      <w:r w:rsidRPr="007414B2">
        <w:t>A.  Sur la recevabilité</w:t>
      </w:r>
    </w:p>
    <w:p w:rsidR="00835E9C" w:rsidRPr="007414B2" w:rsidRDefault="00835E9C" w:rsidP="007D5B63">
      <w:pPr>
        <w:pStyle w:val="ECHRPara"/>
        <w:outlineLvl w:val="0"/>
        <w:rPr>
          <w:bCs/>
          <w:szCs w:val="28"/>
        </w:rPr>
      </w:pPr>
      <w:fldSimple w:instr=" SEQ level0 \*arabic ">
        <w:r>
          <w:rPr>
            <w:noProof/>
          </w:rPr>
          <w:t>16</w:t>
        </w:r>
      </w:fldSimple>
      <w:r w:rsidRPr="00D5385B">
        <w:t>.  </w:t>
      </w:r>
      <w:r w:rsidRPr="00E96E77">
        <w:rPr>
          <w:lang w:val="fr-FR"/>
        </w:rPr>
        <w:t xml:space="preserve">La Cour constate que les griefs des requérants ne sont pas manifestement mal fondés au sens de l’article 35 § 3 de la Convention. Elle relève par ailleurs qu’ils ne se heurtent à aucun autre motif d’irrecevabilité. </w:t>
      </w:r>
      <w:r w:rsidRPr="00D5385B">
        <w:t>Il convient donc de les déclarer recevables.</w:t>
      </w:r>
    </w:p>
    <w:p w:rsidR="00835E9C" w:rsidRPr="007414B2" w:rsidRDefault="00835E9C" w:rsidP="007D5B63">
      <w:pPr>
        <w:pStyle w:val="ECHRHeading2"/>
      </w:pPr>
      <w:r w:rsidRPr="007414B2">
        <w:t>B.  Sur le fond</w:t>
      </w:r>
    </w:p>
    <w:p w:rsidR="00835E9C" w:rsidRPr="007414B2" w:rsidRDefault="00835E9C" w:rsidP="007D5B63">
      <w:pPr>
        <w:pStyle w:val="ECHRHeading3"/>
      </w:pPr>
      <w:r w:rsidRPr="007414B2">
        <w:t>1.  Arguments des parties</w:t>
      </w:r>
    </w:p>
    <w:p w:rsidR="00835E9C" w:rsidRPr="007414B2" w:rsidRDefault="00835E9C" w:rsidP="001B3635">
      <w:pPr>
        <w:pStyle w:val="ECHRHeading4"/>
      </w:pPr>
      <w:r>
        <w:t>a.  </w:t>
      </w:r>
      <w:r w:rsidRPr="007414B2">
        <w:t>Les requérants</w:t>
      </w:r>
    </w:p>
    <w:p w:rsidR="00835E9C" w:rsidRPr="00E96E77" w:rsidRDefault="00835E9C" w:rsidP="007D5B63">
      <w:pPr>
        <w:pStyle w:val="ECHRPara"/>
        <w:outlineLvl w:val="0"/>
        <w:rPr>
          <w:bCs/>
          <w:szCs w:val="28"/>
          <w:lang w:val="fr-FR"/>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17</w:t>
      </w:r>
      <w:r w:rsidRPr="007414B2">
        <w:rPr>
          <w:bCs/>
          <w:szCs w:val="28"/>
        </w:rPr>
        <w:fldChar w:fldCharType="end"/>
      </w:r>
      <w:r w:rsidRPr="007414B2">
        <w:rPr>
          <w:bCs/>
          <w:szCs w:val="28"/>
        </w:rPr>
        <w:t xml:space="preserve">.  Les requérants font valoir que suite à leur transfert, ils ont reçu un traitement salarial globalement inférieur à celui perçu auparavant, car ils ont perdu tous les éléments indemnitaires accessoires dont leur traitement était assorti. </w:t>
      </w:r>
      <w:r w:rsidRPr="00E96E77">
        <w:rPr>
          <w:bCs/>
          <w:szCs w:val="28"/>
          <w:lang w:val="fr-FR"/>
        </w:rPr>
        <w:t>De surcroît, contrairement à ce que le Gouvernement affirme, les requérants soutiennent qu’ils n’ont jamais pu s’opposer à leur transfert au service de l’Etat, comme l’a d’ailleurs reconnu la Cour de cassation dans son arrêt du 7 mars 2007.</w:t>
      </w:r>
    </w:p>
    <w:p w:rsidR="00835E9C" w:rsidRPr="00E96E77" w:rsidRDefault="00835E9C" w:rsidP="007D5B63">
      <w:pPr>
        <w:pStyle w:val="ECHRPara"/>
        <w:outlineLvl w:val="0"/>
        <w:rPr>
          <w:bCs/>
          <w:szCs w:val="28"/>
          <w:lang w:val="fr-FR"/>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18</w:t>
      </w:r>
      <w:r w:rsidRPr="007414B2">
        <w:rPr>
          <w:bCs/>
          <w:szCs w:val="28"/>
        </w:rPr>
        <w:fldChar w:fldCharType="end"/>
      </w:r>
      <w:r w:rsidRPr="007414B2">
        <w:rPr>
          <w:bCs/>
          <w:szCs w:val="28"/>
        </w:rPr>
        <w:t>.  </w:t>
      </w:r>
      <w:r w:rsidRPr="00E96E77">
        <w:rPr>
          <w:bCs/>
          <w:szCs w:val="28"/>
          <w:lang w:val="fr-FR"/>
        </w:rPr>
        <w:t>Les requérants réaffirment qu’ils ont été exclus de toute augmentation contractuelle ainsi que des avantages prévus seulement dans les contrats des collectivités locales, tels que les indemnités de qualification, de repas, de roulement, de risque de disponibilité, etc.</w:t>
      </w:r>
    </w:p>
    <w:p w:rsidR="00835E9C" w:rsidRPr="00E96E77" w:rsidRDefault="00835E9C" w:rsidP="007D5B63">
      <w:pPr>
        <w:pStyle w:val="ECHRPara"/>
        <w:outlineLvl w:val="0"/>
        <w:rPr>
          <w:bCs/>
          <w:szCs w:val="28"/>
          <w:lang w:val="fr-FR"/>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19</w:t>
      </w:r>
      <w:r w:rsidRPr="007414B2">
        <w:rPr>
          <w:bCs/>
          <w:szCs w:val="28"/>
        </w:rPr>
        <w:fldChar w:fldCharType="end"/>
      </w:r>
      <w:r w:rsidRPr="007414B2">
        <w:rPr>
          <w:bCs/>
          <w:szCs w:val="28"/>
        </w:rPr>
        <w:t>.  </w:t>
      </w:r>
      <w:r w:rsidRPr="00E96E77">
        <w:rPr>
          <w:bCs/>
          <w:szCs w:val="28"/>
          <w:lang w:val="fr-FR"/>
        </w:rPr>
        <w:t>Ils rappellent que la Cour de cassation avait souligné officiellement, par une jurisprudence claire et consolidée, que « la loi est sans équivoque pour attacher au transfert l’effet de reconnaissance de l’ancienneté  ». Les requérants affirment également que l’arrêt de la Cour constitutionnelle ne serait pas correct.</w:t>
      </w:r>
    </w:p>
    <w:p w:rsidR="00835E9C" w:rsidRPr="00E96E77" w:rsidRDefault="00835E9C" w:rsidP="007D5B63">
      <w:pPr>
        <w:pStyle w:val="ECHRPara"/>
        <w:outlineLvl w:val="0"/>
        <w:rPr>
          <w:bCs/>
          <w:szCs w:val="28"/>
          <w:lang w:val="fr-FR"/>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20</w:t>
      </w:r>
      <w:r w:rsidRPr="007414B2">
        <w:rPr>
          <w:bCs/>
          <w:szCs w:val="28"/>
        </w:rPr>
        <w:fldChar w:fldCharType="end"/>
      </w:r>
      <w:r w:rsidRPr="007414B2">
        <w:rPr>
          <w:bCs/>
          <w:szCs w:val="28"/>
        </w:rPr>
        <w:t>.  </w:t>
      </w:r>
      <w:r w:rsidRPr="00E96E77">
        <w:rPr>
          <w:bCs/>
          <w:szCs w:val="28"/>
          <w:lang w:val="fr-FR"/>
        </w:rPr>
        <w:t>Selon les requérants, il n’y avait aucun motif impérieux d’intérêt général susceptible de justifier l’ingérence dans la gestion du contentieux judiciaire en cause en l’espèce.</w:t>
      </w:r>
    </w:p>
    <w:p w:rsidR="00835E9C" w:rsidRDefault="00835E9C" w:rsidP="007D5B63">
      <w:pPr>
        <w:pStyle w:val="ECHRPara"/>
        <w:outlineLvl w:val="0"/>
        <w:rPr>
          <w:bCs/>
          <w:szCs w:val="28"/>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21</w:t>
      </w:r>
      <w:r w:rsidRPr="007414B2">
        <w:rPr>
          <w:bCs/>
          <w:szCs w:val="28"/>
        </w:rPr>
        <w:fldChar w:fldCharType="end"/>
      </w:r>
      <w:r w:rsidRPr="007414B2">
        <w:rPr>
          <w:bCs/>
          <w:szCs w:val="28"/>
        </w:rPr>
        <w:t>.  </w:t>
      </w:r>
      <w:r w:rsidRPr="00E96E77">
        <w:rPr>
          <w:bCs/>
          <w:szCs w:val="28"/>
          <w:lang w:val="fr-FR"/>
        </w:rPr>
        <w:t>Les requérants rappellent que la loi interprétative n</w:t>
      </w:r>
      <w:r w:rsidRPr="00E96E77">
        <w:rPr>
          <w:bCs/>
          <w:szCs w:val="28"/>
          <w:vertAlign w:val="superscript"/>
          <w:lang w:val="fr-FR"/>
        </w:rPr>
        <w:t>o </w:t>
      </w:r>
      <w:r w:rsidRPr="00E96E77">
        <w:rPr>
          <w:bCs/>
          <w:szCs w:val="28"/>
          <w:lang w:val="fr-FR"/>
        </w:rPr>
        <w:t xml:space="preserve">266 est intervenue presque six ans après la décision de transférer le personnel, alors que le transfert lui-même se trouvait déjà complètement réalisé depuis plus de cinq ans, et que la Cour de cassation avait déjà éliminé toute incertitude éventuelle d’interprétationà ce sujet. </w:t>
      </w:r>
      <w:r w:rsidRPr="007414B2">
        <w:rPr>
          <w:bCs/>
          <w:szCs w:val="28"/>
        </w:rPr>
        <w:t>De plus, la norme interprétative avait été dissimulée dans une loi de finances.</w:t>
      </w:r>
    </w:p>
    <w:p w:rsidR="00835E9C" w:rsidRPr="00E96E77" w:rsidRDefault="00835E9C" w:rsidP="00D5385B">
      <w:pPr>
        <w:pStyle w:val="ECHRPara"/>
        <w:outlineLvl w:val="0"/>
        <w:rPr>
          <w:bCs/>
          <w:szCs w:val="28"/>
          <w:lang w:val="fr-FR"/>
        </w:rPr>
      </w:pPr>
      <w:r>
        <w:rPr>
          <w:bCs/>
          <w:szCs w:val="28"/>
        </w:rPr>
        <w:fldChar w:fldCharType="begin"/>
      </w:r>
      <w:r>
        <w:rPr>
          <w:bCs/>
          <w:szCs w:val="28"/>
        </w:rPr>
        <w:instrText xml:space="preserve"> SEQ level0 \*arabic </w:instrText>
      </w:r>
      <w:r>
        <w:rPr>
          <w:bCs/>
          <w:szCs w:val="28"/>
        </w:rPr>
        <w:fldChar w:fldCharType="separate"/>
      </w:r>
      <w:r>
        <w:rPr>
          <w:bCs/>
          <w:noProof/>
          <w:szCs w:val="28"/>
        </w:rPr>
        <w:t>22</w:t>
      </w:r>
      <w:r>
        <w:rPr>
          <w:bCs/>
          <w:szCs w:val="28"/>
        </w:rPr>
        <w:fldChar w:fldCharType="end"/>
      </w:r>
      <w:r>
        <w:rPr>
          <w:bCs/>
          <w:szCs w:val="28"/>
        </w:rPr>
        <w:t>.  </w:t>
      </w:r>
      <w:r w:rsidRPr="00E96E77">
        <w:rPr>
          <w:bCs/>
          <w:szCs w:val="28"/>
          <w:lang w:val="fr-FR"/>
        </w:rPr>
        <w:t>S’agissant de l’article 1 du Protocole n</w:t>
      </w:r>
      <w:r w:rsidRPr="00E96E77">
        <w:rPr>
          <w:bCs/>
          <w:szCs w:val="28"/>
          <w:vertAlign w:val="superscript"/>
          <w:lang w:val="fr-FR"/>
        </w:rPr>
        <w:t>o</w:t>
      </w:r>
      <w:r w:rsidRPr="00E96E77">
        <w:rPr>
          <w:bCs/>
          <w:szCs w:val="28"/>
          <w:lang w:val="fr-FR"/>
        </w:rPr>
        <w:t>1, les requérants font valoir qu’ils disposaient au moment de l’introduction de leurs recours avant l’adoption de la loi litigieuse d’une espérance légitime de les voir couronnés de succès en raison d’une jurisprudence interne qui leur était favorable.</w:t>
      </w:r>
    </w:p>
    <w:p w:rsidR="00835E9C" w:rsidRPr="00E96E77" w:rsidRDefault="00835E9C" w:rsidP="00D5385B">
      <w:pPr>
        <w:pStyle w:val="ECHRPara"/>
        <w:outlineLvl w:val="0"/>
        <w:rPr>
          <w:bCs/>
          <w:szCs w:val="28"/>
          <w:lang w:val="fr-FR"/>
        </w:rPr>
      </w:pPr>
      <w:r w:rsidRPr="00D5385B">
        <w:rPr>
          <w:bCs/>
          <w:szCs w:val="28"/>
        </w:rPr>
        <w:fldChar w:fldCharType="begin"/>
      </w:r>
      <w:r w:rsidRPr="00D5385B">
        <w:rPr>
          <w:bCs/>
          <w:szCs w:val="28"/>
        </w:rPr>
        <w:instrText xml:space="preserve"> SEQ level0 \*arabic </w:instrText>
      </w:r>
      <w:r w:rsidRPr="00D5385B">
        <w:rPr>
          <w:bCs/>
          <w:szCs w:val="28"/>
        </w:rPr>
        <w:fldChar w:fldCharType="separate"/>
      </w:r>
      <w:r>
        <w:rPr>
          <w:bCs/>
          <w:noProof/>
          <w:szCs w:val="28"/>
        </w:rPr>
        <w:t>23</w:t>
      </w:r>
      <w:r w:rsidRPr="00D5385B">
        <w:rPr>
          <w:bCs/>
          <w:szCs w:val="28"/>
        </w:rPr>
        <w:fldChar w:fldCharType="end"/>
      </w:r>
      <w:r w:rsidRPr="00D5385B">
        <w:rPr>
          <w:bCs/>
          <w:szCs w:val="28"/>
        </w:rPr>
        <w:t>.  </w:t>
      </w:r>
      <w:r w:rsidRPr="00E96E77">
        <w:rPr>
          <w:bCs/>
          <w:szCs w:val="28"/>
          <w:lang w:val="fr-FR"/>
        </w:rPr>
        <w:t>Les requérants concluent au caractère disproportionné de la mesure litigieuse et à la violation de l’article 1 du Protocole n</w:t>
      </w:r>
      <w:r w:rsidRPr="00E96E77">
        <w:rPr>
          <w:bCs/>
          <w:szCs w:val="28"/>
          <w:vertAlign w:val="superscript"/>
          <w:lang w:val="fr-FR"/>
        </w:rPr>
        <w:t>o</w:t>
      </w:r>
      <w:r w:rsidRPr="00E96E77">
        <w:rPr>
          <w:bCs/>
          <w:szCs w:val="28"/>
          <w:lang w:val="fr-FR"/>
        </w:rPr>
        <w:t xml:space="preserve"> 1.</w:t>
      </w:r>
    </w:p>
    <w:p w:rsidR="00835E9C" w:rsidRPr="007414B2" w:rsidRDefault="00835E9C" w:rsidP="00E96E77">
      <w:pPr>
        <w:pStyle w:val="ECHRHeading4"/>
        <w:keepNext w:val="0"/>
        <w:keepLines w:val="0"/>
      </w:pPr>
      <w:r>
        <w:t>b.  </w:t>
      </w:r>
      <w:r w:rsidRPr="007414B2">
        <w:t>Le Gouvernement</w:t>
      </w:r>
    </w:p>
    <w:p w:rsidR="00835E9C" w:rsidRPr="00E96E77" w:rsidRDefault="00835E9C" w:rsidP="007D5B63">
      <w:pPr>
        <w:pStyle w:val="ECHRPara"/>
        <w:outlineLvl w:val="0"/>
        <w:rPr>
          <w:bCs/>
          <w:szCs w:val="28"/>
          <w:lang w:val="fr-FR"/>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24</w:t>
      </w:r>
      <w:r w:rsidRPr="007414B2">
        <w:rPr>
          <w:bCs/>
          <w:szCs w:val="28"/>
        </w:rPr>
        <w:fldChar w:fldCharType="end"/>
      </w:r>
      <w:r w:rsidRPr="007414B2">
        <w:rPr>
          <w:bCs/>
          <w:szCs w:val="28"/>
        </w:rPr>
        <w:t>.  </w:t>
      </w:r>
      <w:r w:rsidRPr="00E96E77">
        <w:rPr>
          <w:bCs/>
          <w:szCs w:val="28"/>
          <w:lang w:val="fr-FR"/>
        </w:rPr>
        <w:t>Le Gouvernement s’oppose à la thèse des requérants. Il affirme qu’à la suite de leur transfert, les requérants auraient continué à exercer les mêmes fonctions avec le même salaire, et que toute l’ancienneté acquise avait été reconnue aux fins de leur retraite. La seule différence, selon le Gouvernement, était que l’ancienneté acquise pendant le service accompli dans la fonction publique territoriale ne pouvait pas entraîner une augmentation salariale par rapport au traitement économique dont les intéressés jouissaient avant leur transfert.</w:t>
      </w:r>
    </w:p>
    <w:p w:rsidR="00835E9C" w:rsidRPr="00E96E77" w:rsidRDefault="00835E9C" w:rsidP="007D5B63">
      <w:pPr>
        <w:pStyle w:val="ECHRPara"/>
        <w:outlineLvl w:val="0"/>
        <w:rPr>
          <w:bCs/>
          <w:szCs w:val="28"/>
          <w:lang w:val="fr-FR"/>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25</w:t>
      </w:r>
      <w:r w:rsidRPr="007414B2">
        <w:rPr>
          <w:bCs/>
          <w:szCs w:val="28"/>
        </w:rPr>
        <w:fldChar w:fldCharType="end"/>
      </w:r>
      <w:r w:rsidRPr="007414B2">
        <w:rPr>
          <w:bCs/>
          <w:szCs w:val="28"/>
        </w:rPr>
        <w:t>.  </w:t>
      </w:r>
      <w:r w:rsidRPr="00E96E77">
        <w:rPr>
          <w:bCs/>
          <w:szCs w:val="28"/>
          <w:lang w:val="fr-FR"/>
        </w:rPr>
        <w:t>En outre, le Gouvernement rappelle que cette interprétation de la loi n</w:t>
      </w:r>
      <w:r w:rsidRPr="00E96E77">
        <w:rPr>
          <w:bCs/>
          <w:szCs w:val="28"/>
          <w:vertAlign w:val="superscript"/>
          <w:lang w:val="fr-FR"/>
        </w:rPr>
        <w:t>o </w:t>
      </w:r>
      <w:r w:rsidRPr="00E96E77">
        <w:rPr>
          <w:bCs/>
          <w:szCs w:val="28"/>
          <w:lang w:val="fr-FR"/>
        </w:rPr>
        <w:t>124 de 1999 avait été entérinée par l’un des accords passées entre l’administration (ARAN) et les syndicats des employés puis confirmé dans le décret ministériel du 5 avril 2001.</w:t>
      </w:r>
    </w:p>
    <w:p w:rsidR="00835E9C" w:rsidRPr="00E96E77" w:rsidRDefault="00835E9C" w:rsidP="00846A50">
      <w:pPr>
        <w:pStyle w:val="ECHRPara"/>
        <w:outlineLvl w:val="0"/>
        <w:rPr>
          <w:bCs/>
          <w:szCs w:val="28"/>
          <w:lang w:val="fr-FR"/>
        </w:rPr>
      </w:pPr>
      <w:r>
        <w:rPr>
          <w:bCs/>
          <w:szCs w:val="28"/>
        </w:rPr>
        <w:fldChar w:fldCharType="begin"/>
      </w:r>
      <w:r>
        <w:rPr>
          <w:bCs/>
          <w:szCs w:val="28"/>
        </w:rPr>
        <w:instrText xml:space="preserve"> SEQ level0 \*arabic </w:instrText>
      </w:r>
      <w:r>
        <w:rPr>
          <w:bCs/>
          <w:szCs w:val="28"/>
        </w:rPr>
        <w:fldChar w:fldCharType="separate"/>
      </w:r>
      <w:r>
        <w:rPr>
          <w:bCs/>
          <w:noProof/>
          <w:szCs w:val="28"/>
        </w:rPr>
        <w:t>26</w:t>
      </w:r>
      <w:r>
        <w:rPr>
          <w:bCs/>
          <w:szCs w:val="28"/>
        </w:rPr>
        <w:fldChar w:fldCharType="end"/>
      </w:r>
      <w:r>
        <w:rPr>
          <w:bCs/>
          <w:szCs w:val="28"/>
        </w:rPr>
        <w:t>.  </w:t>
      </w:r>
      <w:r w:rsidRPr="00E96E77">
        <w:rPr>
          <w:bCs/>
          <w:szCs w:val="28"/>
          <w:lang w:val="fr-FR"/>
        </w:rPr>
        <w:t xml:space="preserve">D’après le Gouvernement, étant donné que des contentieux s’étaient multipliés sur l’ensemble du territoire, le législateur était intervenu par le biais d’une loi interprétative afin de combler le vide juridique qui s’était créé, en tenant compte de la difficulté de régler cette matière par la voie d’accords collectifs ou par les soins du pouvoir réglementaire : le but était d’éviter des augmentations injustifiées des salaires et une disparité de traitement entre différentes catégories d’employés. Selon le Gouvernement, qui se réfère à cet égard à plusieurs arrêts de la Cour en matière d’interventions législatives, on ne saurait parler de </w:t>
      </w:r>
      <w:r w:rsidRPr="00E96E77">
        <w:rPr>
          <w:bCs/>
          <w:i/>
          <w:szCs w:val="28"/>
          <w:lang w:val="fr-FR"/>
        </w:rPr>
        <w:t xml:space="preserve">reformatio in peius </w:t>
      </w:r>
      <w:r w:rsidRPr="00E96E77">
        <w:rPr>
          <w:bCs/>
          <w:szCs w:val="28"/>
          <w:lang w:val="fr-FR"/>
        </w:rPr>
        <w:t>de la position des requérants.</w:t>
      </w:r>
    </w:p>
    <w:p w:rsidR="00835E9C" w:rsidRPr="00E96E77" w:rsidRDefault="00835E9C" w:rsidP="007D5B63">
      <w:pPr>
        <w:pStyle w:val="ECHRPara"/>
        <w:outlineLvl w:val="0"/>
        <w:rPr>
          <w:bCs/>
          <w:szCs w:val="28"/>
          <w:lang w:val="fr-FR"/>
        </w:rPr>
      </w:pPr>
      <w:r>
        <w:rPr>
          <w:bCs/>
          <w:szCs w:val="28"/>
        </w:rPr>
        <w:fldChar w:fldCharType="begin"/>
      </w:r>
      <w:r>
        <w:rPr>
          <w:bCs/>
          <w:szCs w:val="28"/>
        </w:rPr>
        <w:instrText xml:space="preserve"> SEQ level0 \*arabic </w:instrText>
      </w:r>
      <w:r>
        <w:rPr>
          <w:bCs/>
          <w:szCs w:val="28"/>
        </w:rPr>
        <w:fldChar w:fldCharType="separate"/>
      </w:r>
      <w:r>
        <w:rPr>
          <w:bCs/>
          <w:noProof/>
          <w:szCs w:val="28"/>
        </w:rPr>
        <w:t>27</w:t>
      </w:r>
      <w:r>
        <w:rPr>
          <w:bCs/>
          <w:szCs w:val="28"/>
        </w:rPr>
        <w:fldChar w:fldCharType="end"/>
      </w:r>
      <w:r>
        <w:rPr>
          <w:bCs/>
          <w:szCs w:val="28"/>
        </w:rPr>
        <w:t>.  </w:t>
      </w:r>
      <w:r w:rsidRPr="00E96E77">
        <w:rPr>
          <w:bCs/>
          <w:szCs w:val="28"/>
          <w:lang w:val="fr-FR"/>
        </w:rPr>
        <w:t>Dans les présentes affaires, les requérants, qui ne disposaient pas d’un arrêt définitif et exécutoire, ont essayé de profiter d’une aubaine et d’un vide juridique ainsi que de l’insuffisance des accords collectifs et de l’incapacité du pouvoir à régler cette matière. L’intervention du législateur était donc parfaitement prévisible et répondait à une évidente et impérieuse justification d’intérêt général (</w:t>
      </w:r>
      <w:r w:rsidRPr="00E96E77">
        <w:rPr>
          <w:bCs/>
          <w:i/>
          <w:iCs/>
          <w:szCs w:val="28"/>
          <w:lang w:val="fr-FR"/>
        </w:rPr>
        <w:t>OGIS-Institut Stanislas et autres</w:t>
      </w:r>
      <w:r w:rsidRPr="00E96E77">
        <w:rPr>
          <w:bCs/>
          <w:szCs w:val="28"/>
          <w:lang w:val="fr-FR"/>
        </w:rPr>
        <w:t>, précité).Selon le Gouvernement, cette situation s’apparente à celle du législateur dans l’affaire « </w:t>
      </w:r>
      <w:r w:rsidRPr="00E96E77">
        <w:rPr>
          <w:bCs/>
          <w:i/>
          <w:iCs/>
          <w:szCs w:val="28"/>
          <w:lang w:val="fr-FR"/>
        </w:rPr>
        <w:t>Building Societies » c. Royaume-Uni</w:t>
      </w:r>
      <w:r w:rsidRPr="00E96E77">
        <w:rPr>
          <w:bCs/>
          <w:szCs w:val="28"/>
          <w:lang w:val="fr-FR"/>
        </w:rPr>
        <w:t>, précitée. Il estime qu’en plus, dans les cas d’espèce, l’intervention du législateur a permis de prévenir la création de situations discriminatoires au sein du personnel ATA. Il en conclut qu’il existait bien un impérieux motif d’intérêt public au sens de la jurisprudence de la Cour.</w:t>
      </w:r>
    </w:p>
    <w:p w:rsidR="00835E9C" w:rsidRPr="00E96E77" w:rsidRDefault="00835E9C" w:rsidP="007D5B63">
      <w:pPr>
        <w:pStyle w:val="ECHRPara"/>
        <w:outlineLvl w:val="0"/>
        <w:rPr>
          <w:bCs/>
          <w:szCs w:val="28"/>
          <w:lang w:val="fr-FR"/>
        </w:rPr>
      </w:pPr>
      <w:r w:rsidRPr="007414B2">
        <w:rPr>
          <w:bCs/>
          <w:szCs w:val="28"/>
        </w:rPr>
        <w:fldChar w:fldCharType="begin"/>
      </w:r>
      <w:r w:rsidRPr="007414B2">
        <w:rPr>
          <w:bCs/>
          <w:szCs w:val="28"/>
        </w:rPr>
        <w:instrText xml:space="preserve"> SEQ level0 \*arabic </w:instrText>
      </w:r>
      <w:r w:rsidRPr="007414B2">
        <w:rPr>
          <w:bCs/>
          <w:szCs w:val="28"/>
        </w:rPr>
        <w:fldChar w:fldCharType="separate"/>
      </w:r>
      <w:r>
        <w:rPr>
          <w:bCs/>
          <w:noProof/>
          <w:szCs w:val="28"/>
        </w:rPr>
        <w:t>28</w:t>
      </w:r>
      <w:r w:rsidRPr="007414B2">
        <w:rPr>
          <w:bCs/>
          <w:szCs w:val="28"/>
        </w:rPr>
        <w:fldChar w:fldCharType="end"/>
      </w:r>
      <w:r w:rsidRPr="007414B2">
        <w:rPr>
          <w:bCs/>
          <w:szCs w:val="28"/>
        </w:rPr>
        <w:t>.  </w:t>
      </w:r>
      <w:r w:rsidRPr="00E96E77">
        <w:rPr>
          <w:bCs/>
          <w:szCs w:val="28"/>
          <w:lang w:val="fr-FR"/>
        </w:rPr>
        <w:t>Enfin, le Gouvernement rappelle que la Cour constitutionnelle a jugé que l’intervention du législateur n’était contraire ni à la Constitution italienne ni à la Convention.</w:t>
      </w:r>
    </w:p>
    <w:p w:rsidR="00835E9C" w:rsidRPr="00E96E77" w:rsidRDefault="00835E9C" w:rsidP="00D5385B">
      <w:pPr>
        <w:pStyle w:val="ECHRPara"/>
        <w:outlineLvl w:val="0"/>
        <w:rPr>
          <w:bCs/>
          <w:szCs w:val="28"/>
          <w:lang w:val="fr-FR"/>
        </w:rPr>
      </w:pPr>
      <w:r>
        <w:rPr>
          <w:bCs/>
          <w:szCs w:val="28"/>
        </w:rPr>
        <w:fldChar w:fldCharType="begin"/>
      </w:r>
      <w:r>
        <w:rPr>
          <w:bCs/>
          <w:szCs w:val="28"/>
        </w:rPr>
        <w:instrText xml:space="preserve"> SEQ level0 \*arabic </w:instrText>
      </w:r>
      <w:r>
        <w:rPr>
          <w:bCs/>
          <w:szCs w:val="28"/>
        </w:rPr>
        <w:fldChar w:fldCharType="separate"/>
      </w:r>
      <w:r>
        <w:rPr>
          <w:bCs/>
          <w:noProof/>
          <w:szCs w:val="28"/>
        </w:rPr>
        <w:t>29</w:t>
      </w:r>
      <w:r>
        <w:rPr>
          <w:bCs/>
          <w:szCs w:val="28"/>
        </w:rPr>
        <w:fldChar w:fldCharType="end"/>
      </w:r>
      <w:r>
        <w:rPr>
          <w:bCs/>
          <w:szCs w:val="28"/>
        </w:rPr>
        <w:t>.  </w:t>
      </w:r>
      <w:r w:rsidRPr="00E96E77">
        <w:rPr>
          <w:bCs/>
          <w:szCs w:val="28"/>
          <w:lang w:val="fr-FR"/>
        </w:rPr>
        <w:t>Quant à l’article 1 du Protocole n</w:t>
      </w:r>
      <w:r w:rsidRPr="00E96E77">
        <w:rPr>
          <w:bCs/>
          <w:szCs w:val="28"/>
          <w:vertAlign w:val="superscript"/>
          <w:lang w:val="fr-FR"/>
        </w:rPr>
        <w:t>o</w:t>
      </w:r>
      <w:r w:rsidRPr="00E96E77">
        <w:rPr>
          <w:bCs/>
          <w:szCs w:val="28"/>
          <w:lang w:val="fr-FR"/>
        </w:rPr>
        <w:t>1, le Gouvernement est d’avis que, lors de l’adoption de la loi de finances pour 2006, les requérants n’étaient pas titulaires d’une créance certaine et exigible envers l’Etat puisqu’aucun jugement définitif n’avait encore été rendu dans leur procédure. Il fait référence pour cela aux affaires</w:t>
      </w:r>
      <w:r w:rsidRPr="00E96E77">
        <w:rPr>
          <w:bCs/>
          <w:i/>
          <w:iCs/>
          <w:szCs w:val="28"/>
          <w:lang w:val="fr-FR"/>
        </w:rPr>
        <w:t xml:space="preserve"> Fernandez-Molina Gonzalez et autres c. Espagne</w:t>
      </w:r>
      <w:r w:rsidRPr="00E96E77">
        <w:rPr>
          <w:bCs/>
          <w:szCs w:val="28"/>
          <w:lang w:val="fr-FR"/>
        </w:rPr>
        <w:t xml:space="preserve"> ((déc.), nº 64359/01, CEDH 2002</w:t>
      </w:r>
      <w:r w:rsidRPr="00E96E77">
        <w:rPr>
          <w:bCs/>
          <w:szCs w:val="28"/>
          <w:lang w:val="fr-FR"/>
        </w:rPr>
        <w:noBreakHyphen/>
        <w:t>IX) et</w:t>
      </w:r>
      <w:r w:rsidRPr="00E96E77">
        <w:rPr>
          <w:bCs/>
          <w:i/>
          <w:iCs/>
          <w:szCs w:val="28"/>
          <w:lang w:val="fr-FR"/>
        </w:rPr>
        <w:t xml:space="preserve"> Raffineries grecques Stran et Stratis Andreadis c. Grèce </w:t>
      </w:r>
      <w:r w:rsidRPr="00E96E77">
        <w:rPr>
          <w:bCs/>
          <w:szCs w:val="28"/>
          <w:lang w:val="fr-FR"/>
        </w:rPr>
        <w:t>(9 décembre 1994, série A n</w:t>
      </w:r>
      <w:r w:rsidRPr="00E96E77">
        <w:rPr>
          <w:bCs/>
          <w:szCs w:val="28"/>
          <w:vertAlign w:val="superscript"/>
          <w:lang w:val="fr-FR"/>
        </w:rPr>
        <w:t>o</w:t>
      </w:r>
      <w:r w:rsidRPr="00E96E77">
        <w:rPr>
          <w:bCs/>
          <w:szCs w:val="28"/>
          <w:lang w:val="fr-FR"/>
        </w:rPr>
        <w:t xml:space="preserve"> 301</w:t>
      </w:r>
      <w:r w:rsidRPr="00E96E77">
        <w:rPr>
          <w:bCs/>
          <w:szCs w:val="28"/>
          <w:lang w:val="fr-FR"/>
        </w:rPr>
        <w:noBreakHyphen/>
        <w:t>B) et en conclut que les requérants n’étaient pas titulaires d’un « bien » au sens de l’article 1 du Protocole n</w:t>
      </w:r>
      <w:r w:rsidRPr="00E96E77">
        <w:rPr>
          <w:bCs/>
          <w:szCs w:val="28"/>
          <w:vertAlign w:val="superscript"/>
          <w:lang w:val="fr-FR"/>
        </w:rPr>
        <w:t>o</w:t>
      </w:r>
      <w:r w:rsidRPr="00E96E77">
        <w:rPr>
          <w:bCs/>
          <w:szCs w:val="28"/>
          <w:lang w:val="fr-FR"/>
        </w:rPr>
        <w:t xml:space="preserve"> 1.</w:t>
      </w:r>
    </w:p>
    <w:p w:rsidR="00835E9C" w:rsidRPr="00E96E77" w:rsidRDefault="00835E9C" w:rsidP="00D5385B">
      <w:pPr>
        <w:pStyle w:val="ECHRPara"/>
        <w:outlineLvl w:val="0"/>
        <w:rPr>
          <w:bCs/>
          <w:szCs w:val="28"/>
          <w:lang w:val="fr-FR"/>
        </w:rPr>
      </w:pPr>
      <w:r w:rsidRPr="00D5385B">
        <w:rPr>
          <w:bCs/>
          <w:szCs w:val="28"/>
        </w:rPr>
        <w:fldChar w:fldCharType="begin"/>
      </w:r>
      <w:r w:rsidRPr="00D5385B">
        <w:rPr>
          <w:bCs/>
          <w:szCs w:val="28"/>
        </w:rPr>
        <w:instrText xml:space="preserve"> SEQ level0 \*arabic </w:instrText>
      </w:r>
      <w:r w:rsidRPr="00D5385B">
        <w:rPr>
          <w:bCs/>
          <w:szCs w:val="28"/>
        </w:rPr>
        <w:fldChar w:fldCharType="separate"/>
      </w:r>
      <w:r>
        <w:rPr>
          <w:bCs/>
          <w:noProof/>
          <w:szCs w:val="28"/>
        </w:rPr>
        <w:t>30</w:t>
      </w:r>
      <w:r w:rsidRPr="00D5385B">
        <w:rPr>
          <w:bCs/>
          <w:szCs w:val="28"/>
        </w:rPr>
        <w:fldChar w:fldCharType="end"/>
      </w:r>
      <w:r w:rsidRPr="00D5385B">
        <w:rPr>
          <w:bCs/>
          <w:szCs w:val="28"/>
        </w:rPr>
        <w:t>.  </w:t>
      </w:r>
      <w:r w:rsidRPr="00E96E77">
        <w:rPr>
          <w:bCs/>
          <w:szCs w:val="28"/>
          <w:lang w:val="fr-FR"/>
        </w:rPr>
        <w:t>Il fait valoir que l’ingérence du législateur dans l’administration de la justice était justifiée par « d’impérieux motifs d’intérêt général ». Contrairement à ce que soutiennent les requérants, il considère que l’objectif pour le législateur n’était pas de faire échec aux procédures en cours mais d’intervenir pour remplir un vide juridique, et souligne que ce motif a été clairement rappelé par la Cour constitutionnelle dans sa décision du 26 novembre 2009. Il estime qu’un tel objectif constitue, en l’espèce, un « impérieux motif d’intérêt général ».</w:t>
      </w:r>
    </w:p>
    <w:p w:rsidR="00835E9C" w:rsidRPr="007414B2" w:rsidRDefault="00835E9C" w:rsidP="007D5B63">
      <w:pPr>
        <w:pStyle w:val="ECHRHeading3"/>
      </w:pPr>
      <w:r w:rsidRPr="007414B2">
        <w:t>2.  Appréciation de la Cour</w:t>
      </w:r>
    </w:p>
    <w:p w:rsidR="00835E9C" w:rsidRPr="00E96E77" w:rsidRDefault="00835E9C" w:rsidP="00846A50">
      <w:pPr>
        <w:pStyle w:val="ECHRPara"/>
        <w:rPr>
          <w:i/>
          <w:lang w:val="fr-FR"/>
        </w:rPr>
      </w:pPr>
      <w:fldSimple w:instr=" SEQ level0 \*arabic ">
        <w:r>
          <w:rPr>
            <w:noProof/>
          </w:rPr>
          <w:t>31</w:t>
        </w:r>
      </w:fldSimple>
      <w:r>
        <w:t>.  </w:t>
      </w:r>
      <w:r w:rsidRPr="00E96E77">
        <w:rPr>
          <w:lang w:val="fr-FR"/>
        </w:rPr>
        <w:t>La Cour rappelle avoir conclu, dans des affaires soulevant des questions semblables à celles de la présente espèce, à la violation de l’article 6 § 1 de la Convention et de l’article 1 du Protocole n</w:t>
      </w:r>
      <w:r w:rsidRPr="00E96E77">
        <w:rPr>
          <w:vertAlign w:val="superscript"/>
          <w:lang w:val="fr-FR"/>
        </w:rPr>
        <w:t>o</w:t>
      </w:r>
      <w:r w:rsidRPr="00E96E77">
        <w:rPr>
          <w:lang w:val="fr-FR"/>
        </w:rPr>
        <w:t xml:space="preserve"> 1 (</w:t>
      </w:r>
      <w:r w:rsidRPr="00E96E77">
        <w:rPr>
          <w:i/>
          <w:lang w:val="fr-FR"/>
        </w:rPr>
        <w:t>Agrati et autres c. Italie</w:t>
      </w:r>
      <w:r w:rsidRPr="00E96E77">
        <w:rPr>
          <w:lang w:val="fr-FR"/>
        </w:rPr>
        <w:t>, n</w:t>
      </w:r>
      <w:r w:rsidRPr="00E96E77">
        <w:rPr>
          <w:vertAlign w:val="superscript"/>
          <w:lang w:val="fr-FR"/>
        </w:rPr>
        <w:t>os</w:t>
      </w:r>
      <w:r w:rsidRPr="00E96E77">
        <w:rPr>
          <w:lang w:val="fr-FR"/>
        </w:rPr>
        <w:t xml:space="preserve"> 43549/08, 6107/09 et 5087/09</w:t>
      </w:r>
      <w:r w:rsidRPr="00E96E77">
        <w:rPr>
          <w:snapToGrid w:val="0"/>
          <w:szCs w:val="24"/>
          <w:lang w:val="fr-FR"/>
        </w:rPr>
        <w:t xml:space="preserve">, 7 </w:t>
      </w:r>
      <w:r w:rsidRPr="00E96E77">
        <w:rPr>
          <w:szCs w:val="24"/>
          <w:lang w:val="fr-FR"/>
        </w:rPr>
        <w:t>juin</w:t>
      </w:r>
      <w:r w:rsidRPr="00E96E77">
        <w:rPr>
          <w:snapToGrid w:val="0"/>
          <w:szCs w:val="24"/>
          <w:lang w:val="fr-FR"/>
        </w:rPr>
        <w:t xml:space="preserve"> 2011, </w:t>
      </w:r>
      <w:r w:rsidRPr="00E96E77">
        <w:rPr>
          <w:i/>
          <w:lang w:val="fr-FR"/>
        </w:rPr>
        <w:t>De Rosa c. Italie</w:t>
      </w:r>
      <w:r w:rsidRPr="00E96E77">
        <w:rPr>
          <w:lang w:val="fr-FR"/>
        </w:rPr>
        <w:t>, n</w:t>
      </w:r>
      <w:r w:rsidRPr="00E96E77">
        <w:rPr>
          <w:vertAlign w:val="superscript"/>
          <w:lang w:val="fr-FR"/>
        </w:rPr>
        <w:t>os</w:t>
      </w:r>
      <w:r w:rsidRPr="00E96E77">
        <w:rPr>
          <w:lang w:val="fr-FR"/>
        </w:rPr>
        <w:t>. 52888/08, 58528/08, 59194/08, 60462/08, 60473/08, 60628/08, 61116/08, 61131/08, 61139/08, 61143/08, 610/09, 4995/09, 5068/09 et 5141/09</w:t>
      </w:r>
      <w:r w:rsidRPr="00E96E77">
        <w:rPr>
          <w:snapToGrid w:val="0"/>
          <w:lang w:val="fr-FR"/>
        </w:rPr>
        <w:t xml:space="preserve">, 11 </w:t>
      </w:r>
      <w:r w:rsidRPr="00E96E77">
        <w:rPr>
          <w:lang w:val="fr-FR"/>
        </w:rPr>
        <w:t>décembre</w:t>
      </w:r>
      <w:r w:rsidRPr="00E96E77">
        <w:rPr>
          <w:snapToGrid w:val="0"/>
          <w:lang w:val="fr-FR"/>
        </w:rPr>
        <w:t xml:space="preserve"> 2012</w:t>
      </w:r>
      <w:r w:rsidRPr="00E96E77">
        <w:rPr>
          <w:lang w:val="fr-FR"/>
        </w:rPr>
        <w:t>). Après avoir examiné tous les éléments qui lui ont été soumis en l’espèce, elle considère que le Gouvernement n’a exposé aucun fait ni argument pouvant mener à une conclusion différente dans la présente affaire. Compte tenu de sa jurisprudence en la matière, elle estime qu’en l’espèce</w:t>
      </w:r>
      <w:r w:rsidRPr="00E96E77">
        <w:rPr>
          <w:bCs/>
          <w:szCs w:val="28"/>
          <w:lang w:val="fr-FR"/>
        </w:rPr>
        <w:t xml:space="preserve"> l’intervention législative litigieuse, qui visait à régler définitivement et de manière rétroactive, le fond du litige opposant la requérante à l’Etat devant les juridictions internes, n’était pas justifiée par d’impérieux motifs d’intérêt général et a fait peser une « charge anormale et exorbitante » sur les requérants. De plus, l’atteinte portée à leurs biens a revêtu un caractère disproportionné, rompant le juste équilibre entre les exigences de l’intérêt général et la sauvegarde des droits fondamentaux des individus.</w:t>
      </w:r>
    </w:p>
    <w:p w:rsidR="00835E9C" w:rsidRPr="007414B2" w:rsidRDefault="00835E9C" w:rsidP="00846A50">
      <w:pPr>
        <w:pStyle w:val="ECHRPara"/>
        <w:outlineLvl w:val="0"/>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32</w:t>
      </w:r>
      <w:r>
        <w:rPr>
          <w:bCs/>
          <w:szCs w:val="28"/>
        </w:rPr>
        <w:fldChar w:fldCharType="end"/>
      </w:r>
      <w:r>
        <w:rPr>
          <w:bCs/>
          <w:szCs w:val="28"/>
        </w:rPr>
        <w:t>.  </w:t>
      </w:r>
      <w:r w:rsidRPr="00A4140C">
        <w:rPr>
          <w:bCs/>
          <w:szCs w:val="28"/>
        </w:rPr>
        <w:t xml:space="preserve">Partant, la Cour conclut à la violation </w:t>
      </w:r>
      <w:r>
        <w:rPr>
          <w:bCs/>
          <w:szCs w:val="28"/>
        </w:rPr>
        <w:t>des articles</w:t>
      </w:r>
      <w:r w:rsidRPr="00A4140C">
        <w:rPr>
          <w:bCs/>
          <w:szCs w:val="28"/>
        </w:rPr>
        <w:t xml:space="preserve"> 6 § 1 </w:t>
      </w:r>
      <w:r>
        <w:rPr>
          <w:bCs/>
          <w:szCs w:val="28"/>
        </w:rPr>
        <w:t>et 1 du Protocole n</w:t>
      </w:r>
      <w:r w:rsidRPr="00BB3DA3">
        <w:rPr>
          <w:bCs/>
          <w:szCs w:val="28"/>
          <w:vertAlign w:val="superscript"/>
        </w:rPr>
        <w:t>o</w:t>
      </w:r>
      <w:r>
        <w:rPr>
          <w:bCs/>
          <w:szCs w:val="28"/>
        </w:rPr>
        <w:t xml:space="preserve">1 à </w:t>
      </w:r>
      <w:r w:rsidRPr="00A4140C">
        <w:rPr>
          <w:bCs/>
          <w:szCs w:val="28"/>
        </w:rPr>
        <w:t>la Convention.</w:t>
      </w:r>
    </w:p>
    <w:p w:rsidR="00835E9C" w:rsidRPr="00685582" w:rsidRDefault="00835E9C">
      <w:pPr>
        <w:pStyle w:val="ECHRHeading1"/>
      </w:pPr>
      <w:r>
        <w:t>III</w:t>
      </w:r>
      <w:r w:rsidRPr="00685582">
        <w:t>.  SUR LES AUTRES VIOLATIONS ALLÉGUÉES</w:t>
      </w:r>
    </w:p>
    <w:p w:rsidR="00835E9C" w:rsidRPr="00BA4DAF" w:rsidRDefault="00835E9C" w:rsidP="00BA4DAF">
      <w:pPr>
        <w:pStyle w:val="ECHRPara"/>
        <w:outlineLvl w:val="0"/>
      </w:pPr>
      <w:fldSimple w:instr=" SEQ level0 \*arabic ">
        <w:r>
          <w:rPr>
            <w:noProof/>
          </w:rPr>
          <w:t>33</w:t>
        </w:r>
      </w:fldSimple>
      <w:r>
        <w:t>.  </w:t>
      </w:r>
      <w:r w:rsidRPr="00E96E77">
        <w:rPr>
          <w:lang w:val="fr-FR"/>
        </w:rPr>
        <w:t xml:space="preserve">Les requérants se plaignent d’avoir fait l’objet d’une discrimination par rapport aux autres anciens membres du personnel ATA qui ont obtenu gain de cause par des décisions ayant acquis l’autorité de la chose jugée avant l’entrée en vigueur de la nouvelle loi. </w:t>
      </w:r>
      <w:r w:rsidRPr="00BA4DAF">
        <w:t>Ils invoquent l</w:t>
      </w:r>
      <w:r>
        <w:t>’</w:t>
      </w:r>
      <w:r w:rsidRPr="00BA4DAF">
        <w:t>article 14 de la Convention qui dispose:</w:t>
      </w:r>
    </w:p>
    <w:p w:rsidR="00835E9C" w:rsidRPr="00BA4DAF" w:rsidRDefault="00835E9C" w:rsidP="00BA4DAF">
      <w:pPr>
        <w:pStyle w:val="ECHRParaQuote"/>
      </w:pPr>
      <w:r w:rsidRPr="00BA4DAF">
        <w:t>.« La jouissance des droits et libertés reconnus dans la (...) Convention doit être assurée, sans distinction aucune, fondée notamment sur le sexe, la race, la couleur, la langue, la religion, les opinions politiques ou toutes autres opinions, l</w:t>
      </w:r>
      <w:r>
        <w:t>’</w:t>
      </w:r>
      <w:r w:rsidRPr="00BA4DAF">
        <w:t>origine nationale ou sociale, l</w:t>
      </w:r>
      <w:r>
        <w:t>’</w:t>
      </w:r>
      <w:r w:rsidRPr="00BA4DAF">
        <w:t>appartenance à une minorité nationale, la fortune, la naissance ou toute autre situation. »</w:t>
      </w:r>
    </w:p>
    <w:p w:rsidR="00835E9C" w:rsidRPr="00E96E77" w:rsidRDefault="00835E9C" w:rsidP="00BA4DAF">
      <w:pPr>
        <w:pStyle w:val="ECHRPara"/>
        <w:outlineLvl w:val="0"/>
        <w:rPr>
          <w:lang w:val="fr-FR"/>
        </w:rPr>
      </w:pPr>
      <w:fldSimple w:instr=" SEQ level0 \*arabic ">
        <w:r>
          <w:rPr>
            <w:noProof/>
          </w:rPr>
          <w:t>34</w:t>
        </w:r>
      </w:fldSimple>
      <w:r w:rsidRPr="00BA4DAF">
        <w:t>.  </w:t>
      </w:r>
      <w:r w:rsidRPr="00E96E77">
        <w:rPr>
          <w:lang w:val="fr-FR"/>
        </w:rPr>
        <w:t>La Cour observe que ce grief, tel qu’il a été présenté par les requérants, est étroitement lié à celui tiré de l’article 6 de la Convention et doit lui aussi être déclaré recevable. Toutefois, eu égard aux conclusions auxquelles elle est parvenue sous l’angle de l’article 6 §1 (paragraphes 31 et 32 ci-dessus), elle ne juge pas nécessaire de l’examiner séparément.</w:t>
      </w:r>
    </w:p>
    <w:p w:rsidR="00835E9C" w:rsidRPr="00E96E77" w:rsidRDefault="00835E9C" w:rsidP="00BA4DAF">
      <w:pPr>
        <w:pStyle w:val="ECHRPara"/>
        <w:rPr>
          <w:lang w:val="fr-FR"/>
        </w:rPr>
      </w:pPr>
      <w:fldSimple w:instr=" SEQ level0 \*arabic ">
        <w:r>
          <w:rPr>
            <w:noProof/>
          </w:rPr>
          <w:t>35</w:t>
        </w:r>
      </w:fldSimple>
      <w:r>
        <w:t>.  </w:t>
      </w:r>
      <w:r w:rsidRPr="00E96E77">
        <w:rPr>
          <w:color w:val="000000"/>
          <w:lang w:val="fr-FR"/>
        </w:rPr>
        <w:t>Invoquant l’article 8 de la Convention,</w:t>
      </w:r>
      <w:r w:rsidRPr="00E96E77">
        <w:rPr>
          <w:lang w:val="fr-FR"/>
        </w:rPr>
        <w:t xml:space="preserve"> les requérants estiment que l’article 1 de la loi n</w:t>
      </w:r>
      <w:r w:rsidRPr="00E96E77">
        <w:rPr>
          <w:vertAlign w:val="superscript"/>
          <w:lang w:val="fr-FR"/>
        </w:rPr>
        <w:t>o</w:t>
      </w:r>
      <w:r w:rsidRPr="00E96E77">
        <w:rPr>
          <w:lang w:val="fr-FR"/>
        </w:rPr>
        <w:t xml:space="preserve"> 266 de 2005 a constitué une ingérence dans leur vie privée.</w:t>
      </w:r>
    </w:p>
    <w:p w:rsidR="00835E9C" w:rsidRPr="00E96E77" w:rsidRDefault="00835E9C" w:rsidP="009E2D52">
      <w:pPr>
        <w:pStyle w:val="ECHRPara"/>
        <w:outlineLvl w:val="0"/>
        <w:rPr>
          <w:lang w:val="fr-FR"/>
        </w:rPr>
      </w:pPr>
      <w:fldSimple w:instr=" SEQ level0 \*arabic ">
        <w:r>
          <w:rPr>
            <w:noProof/>
          </w:rPr>
          <w:t>36</w:t>
        </w:r>
      </w:fldSimple>
      <w:r>
        <w:t>.  </w:t>
      </w:r>
      <w:r w:rsidRPr="00E96E77">
        <w:rPr>
          <w:lang w:val="fr-FR"/>
        </w:rPr>
        <w:t xml:space="preserve">La Cour note tout d’abord que ce grief n’est pas assez étayé. </w:t>
      </w:r>
      <w:r w:rsidRPr="0043691F">
        <w:t xml:space="preserve">Compte tenu des éléments en sa possession, et dans la mesure où elle est compétente pour connaître de cette allégation, la Cour ne relève aucune apparence de violation des droits et libertés garantis par la Convention. </w:t>
      </w:r>
      <w:r w:rsidRPr="00E96E77">
        <w:rPr>
          <w:lang w:val="fr-FR"/>
        </w:rPr>
        <w:t>La Cour conclut donc que ce grief est manifestement mal fondée et doit être rejetée en application de l’article 35 §§ 3 a) et 4 de la Convention.</w:t>
      </w:r>
    </w:p>
    <w:p w:rsidR="00835E9C" w:rsidRPr="00685582" w:rsidRDefault="00835E9C">
      <w:pPr>
        <w:pStyle w:val="ECHRHeading1"/>
      </w:pPr>
      <w:r>
        <w:t>IV</w:t>
      </w:r>
      <w:r w:rsidRPr="00685582">
        <w:t>.  SUR L</w:t>
      </w:r>
      <w:r>
        <w:t>’</w:t>
      </w:r>
      <w:r w:rsidRPr="00685582">
        <w:t>APPLICATION DE L</w:t>
      </w:r>
      <w:r>
        <w:t>’</w:t>
      </w:r>
      <w:r w:rsidRPr="00685582">
        <w:t>ARTICLE 41 DE LA CONVENTION</w:t>
      </w:r>
    </w:p>
    <w:p w:rsidR="00835E9C" w:rsidRPr="00E96E77" w:rsidRDefault="00835E9C" w:rsidP="00B33C50">
      <w:pPr>
        <w:pStyle w:val="ECHRPara"/>
        <w:keepNext/>
        <w:keepLines/>
        <w:outlineLvl w:val="0"/>
        <w:rPr>
          <w:lang w:val="fr-FR"/>
        </w:rPr>
      </w:pPr>
      <w:fldSimple w:instr=" SEQ level0 \*arabic ">
        <w:r>
          <w:rPr>
            <w:noProof/>
          </w:rPr>
          <w:t>37</w:t>
        </w:r>
      </w:fldSimple>
      <w:r w:rsidRPr="00685582">
        <w:t>.  </w:t>
      </w:r>
      <w:r w:rsidRPr="00E96E77">
        <w:rPr>
          <w:lang w:val="fr-FR"/>
        </w:rPr>
        <w:t>Aux termes de l’article 41 de la Convention,</w:t>
      </w:r>
    </w:p>
    <w:p w:rsidR="00835E9C" w:rsidRPr="00685582" w:rsidRDefault="00835E9C">
      <w:pPr>
        <w:pStyle w:val="ECHRParaQuote"/>
        <w:keepNext/>
        <w:keepLines/>
      </w:pPr>
      <w:r w:rsidRPr="00685582">
        <w:t>« Si la Cour déclare qu</w:t>
      </w:r>
      <w:r>
        <w:t>’</w:t>
      </w:r>
      <w:r w:rsidRPr="00685582">
        <w:t>il y a eu violation de la Convention ou de ses Protocoles, et si le droit interne de la Haute Partie contractante ne permet d</w:t>
      </w:r>
      <w:r>
        <w:t>’</w:t>
      </w:r>
      <w:r w:rsidRPr="00685582">
        <w:t>effacer qu</w:t>
      </w:r>
      <w:r>
        <w:t>’</w:t>
      </w:r>
      <w:r w:rsidRPr="00685582">
        <w:t>imparfaitement les conséquences de cette violation, la Cour accorde à la partie lésée, s</w:t>
      </w:r>
      <w:r>
        <w:t>’</w:t>
      </w:r>
      <w:r w:rsidRPr="00685582">
        <w:t>il y a lieu, une satisfaction équitable. »</w:t>
      </w:r>
    </w:p>
    <w:p w:rsidR="00835E9C" w:rsidRPr="007475FA" w:rsidRDefault="00835E9C" w:rsidP="001E78C7">
      <w:pPr>
        <w:pStyle w:val="ECHRPara"/>
      </w:pPr>
      <w:fldSimple w:instr=" SEQ level0 \*arabic ">
        <w:r>
          <w:rPr>
            <w:noProof/>
          </w:rPr>
          <w:t>38</w:t>
        </w:r>
      </w:fldSimple>
      <w:r>
        <w:t>.  </w:t>
      </w:r>
      <w:r w:rsidRPr="007475FA">
        <w:t>Sans justificatifs, les requérant réclament respectivement 97571, 64 EUR et 62 955, 25 EUR pour les différences</w:t>
      </w:r>
      <w:r>
        <w:t xml:space="preserve"> de salaires</w:t>
      </w:r>
      <w:r w:rsidRPr="007475FA">
        <w:t xml:space="preserve"> et de retraite. Ils demandent 10 000 EUR chacun à titre de dommage moral et 6 000 EUR chacun pour les frais et dépens.</w:t>
      </w:r>
    </w:p>
    <w:p w:rsidR="00835E9C" w:rsidRPr="00E96E77" w:rsidRDefault="00835E9C" w:rsidP="001E78C7">
      <w:pPr>
        <w:pStyle w:val="ECHRPara"/>
        <w:rPr>
          <w:lang w:val="fr-FR"/>
        </w:rPr>
      </w:pPr>
      <w:fldSimple w:instr=" SEQ level0 \*arabic ">
        <w:r>
          <w:rPr>
            <w:noProof/>
          </w:rPr>
          <w:t>39</w:t>
        </w:r>
      </w:fldSimple>
      <w:r>
        <w:t>.  </w:t>
      </w:r>
      <w:r w:rsidRPr="00E96E77">
        <w:rPr>
          <w:lang w:val="fr-FR"/>
        </w:rPr>
        <w:t>Le Gouvernement affirme que les observations des requérants ne comprennent aucune prétention, chiffrée et accompagnée des justificatifs pertinents aux termes de l’article 60 du règlement.</w:t>
      </w:r>
    </w:p>
    <w:p w:rsidR="00835E9C" w:rsidRPr="00E96E77" w:rsidRDefault="00835E9C" w:rsidP="00B0366E">
      <w:pPr>
        <w:pStyle w:val="ECHRPara"/>
        <w:rPr>
          <w:color w:val="000000"/>
          <w:szCs w:val="24"/>
          <w:lang w:val="fr-FR"/>
        </w:rPr>
      </w:pPr>
      <w:r w:rsidRPr="00E96E77">
        <w:rPr>
          <w:color w:val="000000"/>
          <w:szCs w:val="24"/>
          <w:lang w:val="fr-FR"/>
        </w:rPr>
        <w:fldChar w:fldCharType="begin"/>
      </w:r>
      <w:r w:rsidRPr="00E96E77">
        <w:rPr>
          <w:color w:val="000000"/>
          <w:szCs w:val="24"/>
          <w:lang w:val="fr-FR"/>
        </w:rPr>
        <w:instrText xml:space="preserve"> SEQ level0 \*arabic </w:instrText>
      </w:r>
      <w:r w:rsidRPr="00E96E77">
        <w:rPr>
          <w:color w:val="000000"/>
          <w:szCs w:val="24"/>
          <w:lang w:val="fr-FR"/>
        </w:rPr>
        <w:fldChar w:fldCharType="separate"/>
      </w:r>
      <w:r>
        <w:rPr>
          <w:noProof/>
          <w:color w:val="000000"/>
          <w:szCs w:val="24"/>
          <w:lang w:val="fr-FR"/>
        </w:rPr>
        <w:t>40</w:t>
      </w:r>
      <w:r w:rsidRPr="00E96E77">
        <w:rPr>
          <w:color w:val="000000"/>
          <w:szCs w:val="24"/>
          <w:lang w:val="fr-FR"/>
        </w:rPr>
        <w:fldChar w:fldCharType="end"/>
      </w:r>
      <w:r w:rsidRPr="00E96E77">
        <w:rPr>
          <w:color w:val="000000"/>
          <w:szCs w:val="24"/>
          <w:lang w:val="fr-FR"/>
        </w:rPr>
        <w:t>.  La Cour note que les requérants n’ont pas formulé, conformément aux dispositions de l’article 60 du règlement de la Cour, de demande spécifique à cet effet, en soumettant leurs prétentions, chiffrées et ventilées par rubrique et accompagnées des justificatifs pertinents.Par conséquent, elle estime qu’il n’y a pas lieu d’octroyer une somme à ce titre.</w:t>
      </w:r>
    </w:p>
    <w:p w:rsidR="00835E9C" w:rsidRPr="00E96E77" w:rsidRDefault="00835E9C" w:rsidP="00E96E77">
      <w:pPr>
        <w:pStyle w:val="ECHRPara"/>
        <w:rPr>
          <w:color w:val="000000"/>
          <w:szCs w:val="24"/>
          <w:lang w:val="fr-FR"/>
        </w:rPr>
      </w:pPr>
      <w:r>
        <w:rPr>
          <w:color w:val="000000"/>
          <w:szCs w:val="24"/>
        </w:rPr>
        <w:fldChar w:fldCharType="begin"/>
      </w:r>
      <w:r>
        <w:rPr>
          <w:color w:val="000000"/>
          <w:szCs w:val="24"/>
        </w:rPr>
        <w:instrText xml:space="preserve"> SEQ level0 \*arabic </w:instrText>
      </w:r>
      <w:r>
        <w:rPr>
          <w:color w:val="000000"/>
          <w:szCs w:val="24"/>
        </w:rPr>
        <w:fldChar w:fldCharType="separate"/>
      </w:r>
      <w:r>
        <w:rPr>
          <w:noProof/>
          <w:color w:val="000000"/>
          <w:szCs w:val="24"/>
        </w:rPr>
        <w:t>41</w:t>
      </w:r>
      <w:r>
        <w:rPr>
          <w:color w:val="000000"/>
          <w:szCs w:val="24"/>
        </w:rPr>
        <w:fldChar w:fldCharType="end"/>
      </w:r>
      <w:r>
        <w:rPr>
          <w:color w:val="000000"/>
          <w:szCs w:val="24"/>
        </w:rPr>
        <w:t>.  </w:t>
      </w:r>
      <w:r w:rsidRPr="00E96E77">
        <w:rPr>
          <w:color w:val="000000"/>
          <w:szCs w:val="24"/>
          <w:lang w:val="fr-FR"/>
        </w:rPr>
        <w:t>Quant au dommage moral, la Cour estime que les constats de violation auxquels elle est parvenue constituent en soi une satisfaction équitable pour le préjudice moral subi par les requérants.</w:t>
      </w:r>
    </w:p>
    <w:p w:rsidR="00835E9C" w:rsidRPr="00685582" w:rsidRDefault="00835E9C" w:rsidP="00B33C50">
      <w:pPr>
        <w:pStyle w:val="ECHRTitle1"/>
      </w:pPr>
      <w:r w:rsidRPr="00685582">
        <w:t>PAR CES MOTIFS, LA COUR À L</w:t>
      </w:r>
      <w:r>
        <w:t>’</w:t>
      </w:r>
      <w:r w:rsidRPr="00685582">
        <w:t>UNANIMITÉ,</w:t>
      </w:r>
    </w:p>
    <w:p w:rsidR="00835E9C" w:rsidRPr="00DC16DE" w:rsidRDefault="00835E9C" w:rsidP="00DC16DE">
      <w:pPr>
        <w:pStyle w:val="JuList"/>
      </w:pPr>
      <w:r w:rsidRPr="00DC16DE">
        <w:t>1.  </w:t>
      </w:r>
      <w:r w:rsidRPr="00DC16DE">
        <w:rPr>
          <w:i/>
          <w:iCs/>
        </w:rPr>
        <w:t>Décide</w:t>
      </w:r>
      <w:r w:rsidRPr="00DC16DE">
        <w:t xml:space="preserve"> de joindre les requêtes ;</w:t>
      </w:r>
    </w:p>
    <w:p w:rsidR="00835E9C" w:rsidRPr="00DC16DE" w:rsidRDefault="00835E9C" w:rsidP="00DC16DE">
      <w:pPr>
        <w:pStyle w:val="JuList"/>
      </w:pPr>
    </w:p>
    <w:p w:rsidR="00835E9C" w:rsidRPr="00DC16DE" w:rsidRDefault="00835E9C" w:rsidP="00DC16DE">
      <w:pPr>
        <w:pStyle w:val="JuList"/>
      </w:pPr>
      <w:r w:rsidRPr="00DC16DE">
        <w:t>2.  </w:t>
      </w:r>
      <w:r w:rsidRPr="00DC16DE">
        <w:rPr>
          <w:i/>
          <w:iCs/>
        </w:rPr>
        <w:t>Déclare</w:t>
      </w:r>
      <w:r w:rsidRPr="00DC16DE">
        <w:t xml:space="preserve"> les requêtes recevables  quant aux griefs </w:t>
      </w:r>
      <w:r>
        <w:t xml:space="preserve">tirés </w:t>
      </w:r>
      <w:r w:rsidRPr="00DC16DE">
        <w:t>des articles 6</w:t>
      </w:r>
      <w:r>
        <w:t>, 1 du Protocolen</w:t>
      </w:r>
      <w:r w:rsidRPr="00BB3DA3">
        <w:rPr>
          <w:vertAlign w:val="superscript"/>
        </w:rPr>
        <w:t>o</w:t>
      </w:r>
      <w:r>
        <w:t>1</w:t>
      </w:r>
      <w:r w:rsidRPr="00DC16DE">
        <w:t xml:space="preserve"> et 14 de la Convention;</w:t>
      </w:r>
    </w:p>
    <w:p w:rsidR="00835E9C" w:rsidRPr="00DC16DE" w:rsidRDefault="00835E9C" w:rsidP="00DC16DE">
      <w:pPr>
        <w:pStyle w:val="JuList"/>
      </w:pPr>
    </w:p>
    <w:p w:rsidR="00835E9C" w:rsidRDefault="00835E9C" w:rsidP="00DC16DE">
      <w:pPr>
        <w:pStyle w:val="JuList"/>
      </w:pPr>
      <w:r w:rsidRPr="00DC16DE">
        <w:t>3.  </w:t>
      </w:r>
      <w:r w:rsidRPr="00DC16DE">
        <w:rPr>
          <w:i/>
          <w:iCs/>
        </w:rPr>
        <w:t>Dit</w:t>
      </w:r>
      <w:r w:rsidRPr="00DC16DE">
        <w:t xml:space="preserve"> qu</w:t>
      </w:r>
      <w:r>
        <w:t>’</w:t>
      </w:r>
      <w:r w:rsidRPr="00DC16DE">
        <w:t>il y a eu violation de l</w:t>
      </w:r>
      <w:r>
        <w:t>’</w:t>
      </w:r>
      <w:r w:rsidRPr="00DC16DE">
        <w:t>article 6 § 1 de la Convention ;</w:t>
      </w:r>
    </w:p>
    <w:p w:rsidR="00835E9C" w:rsidRPr="00DC16DE" w:rsidRDefault="00835E9C" w:rsidP="00DC16DE">
      <w:pPr>
        <w:pStyle w:val="JuList"/>
      </w:pPr>
    </w:p>
    <w:p w:rsidR="00835E9C" w:rsidRDefault="00835E9C" w:rsidP="00DC16DE">
      <w:pPr>
        <w:pStyle w:val="JuList"/>
      </w:pPr>
      <w:r w:rsidRPr="00DC16DE">
        <w:t>4.  </w:t>
      </w:r>
      <w:r w:rsidRPr="00DC16DE">
        <w:rPr>
          <w:i/>
          <w:iCs/>
        </w:rPr>
        <w:t>Dit</w:t>
      </w:r>
      <w:r w:rsidRPr="00DC16DE">
        <w:t xml:space="preserve"> qu</w:t>
      </w:r>
      <w:r>
        <w:t>’</w:t>
      </w:r>
      <w:r w:rsidRPr="00DC16DE">
        <w:t>il y a eu violation de l</w:t>
      </w:r>
      <w:r>
        <w:t>’</w:t>
      </w:r>
      <w:r w:rsidRPr="00DC16DE">
        <w:t>article</w:t>
      </w:r>
      <w:r>
        <w:t xml:space="preserve"> 1 du Protocole n</w:t>
      </w:r>
      <w:r w:rsidRPr="00BB3DA3">
        <w:rPr>
          <w:vertAlign w:val="superscript"/>
        </w:rPr>
        <w:t>o</w:t>
      </w:r>
      <w:r>
        <w:t>1 à la Convention ;</w:t>
      </w:r>
    </w:p>
    <w:p w:rsidR="00835E9C" w:rsidRDefault="00835E9C" w:rsidP="00DC16DE">
      <w:pPr>
        <w:pStyle w:val="JuList"/>
      </w:pPr>
    </w:p>
    <w:p w:rsidR="00835E9C" w:rsidRDefault="00835E9C" w:rsidP="00E96E77">
      <w:pPr>
        <w:pStyle w:val="JuList"/>
      </w:pPr>
      <w:r>
        <w:t>5</w:t>
      </w:r>
      <w:r w:rsidRPr="00DC16DE">
        <w:t>.  </w:t>
      </w:r>
      <w:r w:rsidRPr="00DC16DE">
        <w:rPr>
          <w:i/>
          <w:iCs/>
        </w:rPr>
        <w:t>Dit</w:t>
      </w:r>
      <w:r w:rsidRPr="00DC16DE">
        <w:t xml:space="preserve"> qu</w:t>
      </w:r>
      <w:r>
        <w:t>’</w:t>
      </w:r>
      <w:r w:rsidRPr="00DC16DE">
        <w:t>il n</w:t>
      </w:r>
      <w:r>
        <w:t>’</w:t>
      </w:r>
      <w:r w:rsidRPr="00DC16DE">
        <w:t>y a pas lieu d</w:t>
      </w:r>
      <w:r>
        <w:t>’</w:t>
      </w:r>
      <w:r w:rsidRPr="00DC16DE">
        <w:t>examiner le grief tiré de l</w:t>
      </w:r>
      <w:r>
        <w:t>’</w:t>
      </w:r>
      <w:r w:rsidRPr="00DC16DE">
        <w:t xml:space="preserve">article 14 de la </w:t>
      </w:r>
      <w:r>
        <w:t>Convention.</w:t>
      </w:r>
    </w:p>
    <w:p w:rsidR="00835E9C" w:rsidRPr="00685582" w:rsidRDefault="00835E9C" w:rsidP="00DC16DE">
      <w:pPr>
        <w:pStyle w:val="JuParaLast"/>
        <w:ind w:firstLine="0"/>
      </w:pPr>
      <w:r w:rsidRPr="00685582">
        <w:t>Fait en français, puis communiqué par écrit le </w:t>
      </w:r>
      <w:r>
        <w:t>13 mai 2014</w:t>
      </w:r>
      <w:r w:rsidRPr="00685582">
        <w:t>, en application de l</w:t>
      </w:r>
      <w:r>
        <w:t>’</w:t>
      </w:r>
      <w:r w:rsidRPr="00685582">
        <w:t>article 77 §§ 2 et 3 du règlement.</w:t>
      </w:r>
    </w:p>
    <w:p w:rsidR="00835E9C" w:rsidRPr="00685582" w:rsidRDefault="00835E9C" w:rsidP="0009234F">
      <w:pPr>
        <w:pStyle w:val="JuSigned"/>
        <w:keepNext/>
        <w:keepLines/>
      </w:pPr>
      <w:r w:rsidRPr="00685582">
        <w:tab/>
      </w:r>
      <w:r>
        <w:rPr>
          <w:szCs w:val="24"/>
        </w:rPr>
        <w:t>Abel Campos</w:t>
      </w:r>
      <w:r>
        <w:rPr>
          <w:szCs w:val="24"/>
        </w:rPr>
        <w:tab/>
        <w:t>AndrásSajó</w:t>
      </w:r>
      <w:r w:rsidRPr="00047B9D">
        <w:br/>
      </w:r>
      <w:r w:rsidRPr="00685582">
        <w:tab/>
      </w:r>
      <w:r>
        <w:t>Greffier adjoint</w:t>
      </w:r>
      <w:r w:rsidRPr="00685582">
        <w:tab/>
      </w:r>
      <w:r w:rsidRPr="00AB67FF">
        <w:rPr>
          <w:szCs w:val="24"/>
        </w:rPr>
        <w:t>Président</w:t>
      </w:r>
    </w:p>
    <w:sectPr w:rsidR="00835E9C" w:rsidRPr="00685582" w:rsidSect="00BB3DA3">
      <w:headerReference w:type="even" r:id="rId10"/>
      <w:headerReference w:type="default" r:id="rId11"/>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9C" w:rsidRDefault="00835E9C">
      <w:r>
        <w:separator/>
      </w:r>
    </w:p>
  </w:endnote>
  <w:endnote w:type="continuationSeparator" w:id="0">
    <w:p w:rsidR="00835E9C" w:rsidRDefault="00835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9C" w:rsidRPr="00150BFA" w:rsidRDefault="00835E9C" w:rsidP="0020718E">
    <w:pPr>
      <w:jc w:val="center"/>
    </w:pPr>
    <w:r w:rsidRPr="00E41F7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60pt;height:48.75pt;visibility:visible">
          <v:imagedata r:id="rId1" o:title=""/>
        </v:shape>
      </w:pict>
    </w:r>
  </w:p>
  <w:p w:rsidR="00835E9C" w:rsidRDefault="00835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9C" w:rsidRDefault="00835E9C">
      <w:r>
        <w:separator/>
      </w:r>
    </w:p>
  </w:footnote>
  <w:footnote w:type="continuationSeparator" w:id="0">
    <w:p w:rsidR="00835E9C" w:rsidRDefault="00835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9C" w:rsidRPr="00BB3DA3" w:rsidRDefault="00835E9C" w:rsidP="00BB3DA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9C" w:rsidRPr="00A45145" w:rsidRDefault="00835E9C" w:rsidP="00A45145">
    <w:pPr>
      <w:jc w:val="center"/>
    </w:pPr>
    <w:r w:rsidRPr="00E41F7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33.25pt;height:96pt;visibility:visible">
          <v:imagedata r:id="rId1" o:title=""/>
        </v:shape>
      </w:pict>
    </w:r>
  </w:p>
  <w:p w:rsidR="00835E9C" w:rsidRDefault="00835E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9C" w:rsidRPr="00DE593D" w:rsidRDefault="00835E9C" w:rsidP="00946BF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sidRPr="00DE593D">
      <w:rPr>
        <w:rStyle w:val="PageNumber"/>
      </w:rPr>
      <w:tab/>
    </w:r>
    <w:r w:rsidRPr="00A23F2A">
      <w:rPr>
        <w:noProof/>
      </w:rPr>
      <w:t>ARRÊT</w:t>
    </w:r>
    <w:r>
      <w:t xml:space="preserve">MARINO </w:t>
    </w:r>
    <w:r w:rsidRPr="00A23F2A">
      <w:t xml:space="preserve">ET COLACIONE </w:t>
    </w:r>
    <w:r>
      <w:t>c. ITALIE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9C" w:rsidRPr="00DE593D" w:rsidRDefault="00835E9C" w:rsidP="00946BFB">
    <w:pPr>
      <w:pStyle w:val="ECHRHeader"/>
    </w:pPr>
    <w:r>
      <w:tab/>
    </w:r>
    <w:r w:rsidRPr="00A23F2A">
      <w:rPr>
        <w:noProof/>
      </w:rPr>
      <w:t>ARRÊT</w:t>
    </w:r>
    <w:r>
      <w:t>MARINO ET COLACIONE c. ITALIE</w:t>
    </w:r>
    <w:r w:rsidRPr="00DE593D">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7D3580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6534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3D443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6"/>
  </w:num>
  <w:num w:numId="13">
    <w:abstractNumId w:val="13"/>
  </w:num>
  <w:num w:numId="14">
    <w:abstractNumId w:val="10"/>
  </w:num>
  <w:num w:numId="15">
    <w:abstractNumId w:val="15"/>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2"/>
  </w:num>
  <w:num w:numId="2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F004"/>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7D5B63"/>
    <w:rsid w:val="00000A8E"/>
    <w:rsid w:val="00006607"/>
    <w:rsid w:val="0000732D"/>
    <w:rsid w:val="0001493E"/>
    <w:rsid w:val="00023684"/>
    <w:rsid w:val="0003067A"/>
    <w:rsid w:val="000346B8"/>
    <w:rsid w:val="00034B42"/>
    <w:rsid w:val="000372C9"/>
    <w:rsid w:val="00042DCF"/>
    <w:rsid w:val="00047B9D"/>
    <w:rsid w:val="00060909"/>
    <w:rsid w:val="00072E60"/>
    <w:rsid w:val="00076451"/>
    <w:rsid w:val="0008421F"/>
    <w:rsid w:val="0009234F"/>
    <w:rsid w:val="00093432"/>
    <w:rsid w:val="0009497E"/>
    <w:rsid w:val="0009631E"/>
    <w:rsid w:val="0009688D"/>
    <w:rsid w:val="000A1ADF"/>
    <w:rsid w:val="000A3D31"/>
    <w:rsid w:val="000A4F27"/>
    <w:rsid w:val="000B3205"/>
    <w:rsid w:val="000B7194"/>
    <w:rsid w:val="000C4043"/>
    <w:rsid w:val="000D6013"/>
    <w:rsid w:val="000E242F"/>
    <w:rsid w:val="000E2985"/>
    <w:rsid w:val="000E4D02"/>
    <w:rsid w:val="000E78C7"/>
    <w:rsid w:val="000F08D4"/>
    <w:rsid w:val="00111494"/>
    <w:rsid w:val="00126687"/>
    <w:rsid w:val="001352AA"/>
    <w:rsid w:val="00142DF7"/>
    <w:rsid w:val="00147398"/>
    <w:rsid w:val="00150742"/>
    <w:rsid w:val="00150BFA"/>
    <w:rsid w:val="001524AA"/>
    <w:rsid w:val="001542F3"/>
    <w:rsid w:val="00172CF0"/>
    <w:rsid w:val="001752B0"/>
    <w:rsid w:val="00180C7C"/>
    <w:rsid w:val="00180FFE"/>
    <w:rsid w:val="00184E3A"/>
    <w:rsid w:val="00196E64"/>
    <w:rsid w:val="001A1237"/>
    <w:rsid w:val="001B14B6"/>
    <w:rsid w:val="001B3444"/>
    <w:rsid w:val="001B3635"/>
    <w:rsid w:val="001C7831"/>
    <w:rsid w:val="001E78C7"/>
    <w:rsid w:val="001F2D91"/>
    <w:rsid w:val="001F48D8"/>
    <w:rsid w:val="001F6022"/>
    <w:rsid w:val="001F6681"/>
    <w:rsid w:val="00206868"/>
    <w:rsid w:val="0020718E"/>
    <w:rsid w:val="00207248"/>
    <w:rsid w:val="00211F5F"/>
    <w:rsid w:val="00220C1C"/>
    <w:rsid w:val="00221D16"/>
    <w:rsid w:val="00236C5E"/>
    <w:rsid w:val="0024780A"/>
    <w:rsid w:val="00247DD7"/>
    <w:rsid w:val="00256963"/>
    <w:rsid w:val="00263561"/>
    <w:rsid w:val="00274199"/>
    <w:rsid w:val="00275892"/>
    <w:rsid w:val="00282023"/>
    <w:rsid w:val="002821AD"/>
    <w:rsid w:val="0028541F"/>
    <w:rsid w:val="00287191"/>
    <w:rsid w:val="002921BB"/>
    <w:rsid w:val="0029723C"/>
    <w:rsid w:val="002A27EC"/>
    <w:rsid w:val="002B015F"/>
    <w:rsid w:val="002D020E"/>
    <w:rsid w:val="002D515F"/>
    <w:rsid w:val="002E3AA1"/>
    <w:rsid w:val="002F1CE6"/>
    <w:rsid w:val="0030487C"/>
    <w:rsid w:val="00305449"/>
    <w:rsid w:val="00327411"/>
    <w:rsid w:val="003306D4"/>
    <w:rsid w:val="0033610E"/>
    <w:rsid w:val="003407D0"/>
    <w:rsid w:val="00341552"/>
    <w:rsid w:val="00344034"/>
    <w:rsid w:val="00350960"/>
    <w:rsid w:val="00353314"/>
    <w:rsid w:val="00360C14"/>
    <w:rsid w:val="00361E13"/>
    <w:rsid w:val="00362D1F"/>
    <w:rsid w:val="00370701"/>
    <w:rsid w:val="00381E02"/>
    <w:rsid w:val="003835A5"/>
    <w:rsid w:val="00383CB7"/>
    <w:rsid w:val="00386B91"/>
    <w:rsid w:val="00387F24"/>
    <w:rsid w:val="003925CE"/>
    <w:rsid w:val="003A09B2"/>
    <w:rsid w:val="003B0567"/>
    <w:rsid w:val="003B61BC"/>
    <w:rsid w:val="003B6855"/>
    <w:rsid w:val="003C1570"/>
    <w:rsid w:val="003D2870"/>
    <w:rsid w:val="003E2D42"/>
    <w:rsid w:val="003E78B3"/>
    <w:rsid w:val="003E7EC6"/>
    <w:rsid w:val="0040106E"/>
    <w:rsid w:val="0040252B"/>
    <w:rsid w:val="00402F19"/>
    <w:rsid w:val="0040406E"/>
    <w:rsid w:val="004079E9"/>
    <w:rsid w:val="00411421"/>
    <w:rsid w:val="00416D48"/>
    <w:rsid w:val="004219F0"/>
    <w:rsid w:val="004254D5"/>
    <w:rsid w:val="00425BF9"/>
    <w:rsid w:val="0042712F"/>
    <w:rsid w:val="0043151B"/>
    <w:rsid w:val="00433101"/>
    <w:rsid w:val="0043691F"/>
    <w:rsid w:val="00442FA9"/>
    <w:rsid w:val="00445E54"/>
    <w:rsid w:val="004563AF"/>
    <w:rsid w:val="004653D9"/>
    <w:rsid w:val="0046778E"/>
    <w:rsid w:val="004702BA"/>
    <w:rsid w:val="004734A5"/>
    <w:rsid w:val="004736D2"/>
    <w:rsid w:val="00475AE5"/>
    <w:rsid w:val="00486CD2"/>
    <w:rsid w:val="004930AD"/>
    <w:rsid w:val="004932DA"/>
    <w:rsid w:val="004A01A3"/>
    <w:rsid w:val="004A0F1E"/>
    <w:rsid w:val="004C4F3B"/>
    <w:rsid w:val="004C61A7"/>
    <w:rsid w:val="004C691A"/>
    <w:rsid w:val="004C7DF5"/>
    <w:rsid w:val="004E3393"/>
    <w:rsid w:val="004E4552"/>
    <w:rsid w:val="004E63CA"/>
    <w:rsid w:val="004F404D"/>
    <w:rsid w:val="004F68A7"/>
    <w:rsid w:val="0052605E"/>
    <w:rsid w:val="00527D18"/>
    <w:rsid w:val="005319B5"/>
    <w:rsid w:val="0053642D"/>
    <w:rsid w:val="005445AA"/>
    <w:rsid w:val="00547237"/>
    <w:rsid w:val="005501DA"/>
    <w:rsid w:val="005509C8"/>
    <w:rsid w:val="00560B55"/>
    <w:rsid w:val="00561AFB"/>
    <w:rsid w:val="0057087B"/>
    <w:rsid w:val="0057103A"/>
    <w:rsid w:val="005737E4"/>
    <w:rsid w:val="005740C2"/>
    <w:rsid w:val="005801E1"/>
    <w:rsid w:val="005848B9"/>
    <w:rsid w:val="005B51DE"/>
    <w:rsid w:val="005B7AAF"/>
    <w:rsid w:val="005E1B0C"/>
    <w:rsid w:val="005E7568"/>
    <w:rsid w:val="005E79EB"/>
    <w:rsid w:val="005F43E1"/>
    <w:rsid w:val="0061049D"/>
    <w:rsid w:val="00612896"/>
    <w:rsid w:val="00616140"/>
    <w:rsid w:val="00620817"/>
    <w:rsid w:val="006208CF"/>
    <w:rsid w:val="00626255"/>
    <w:rsid w:val="0064438C"/>
    <w:rsid w:val="00647CDA"/>
    <w:rsid w:val="00662B64"/>
    <w:rsid w:val="006716C1"/>
    <w:rsid w:val="0068104D"/>
    <w:rsid w:val="00685582"/>
    <w:rsid w:val="00693A1D"/>
    <w:rsid w:val="00694356"/>
    <w:rsid w:val="0069719D"/>
    <w:rsid w:val="006A05A8"/>
    <w:rsid w:val="006A0F1E"/>
    <w:rsid w:val="006A1ADE"/>
    <w:rsid w:val="006A1F0E"/>
    <w:rsid w:val="006A5686"/>
    <w:rsid w:val="006B1877"/>
    <w:rsid w:val="006B1C83"/>
    <w:rsid w:val="006B3663"/>
    <w:rsid w:val="006B580E"/>
    <w:rsid w:val="006C0AD4"/>
    <w:rsid w:val="006E10B7"/>
    <w:rsid w:val="006E30BD"/>
    <w:rsid w:val="006E3C39"/>
    <w:rsid w:val="006F005A"/>
    <w:rsid w:val="007028E0"/>
    <w:rsid w:val="00710681"/>
    <w:rsid w:val="00722806"/>
    <w:rsid w:val="007357D0"/>
    <w:rsid w:val="007400F3"/>
    <w:rsid w:val="007414B2"/>
    <w:rsid w:val="00741992"/>
    <w:rsid w:val="00745718"/>
    <w:rsid w:val="007475FA"/>
    <w:rsid w:val="00752D87"/>
    <w:rsid w:val="007549C7"/>
    <w:rsid w:val="00755392"/>
    <w:rsid w:val="0077322C"/>
    <w:rsid w:val="0077655C"/>
    <w:rsid w:val="0077792A"/>
    <w:rsid w:val="00780F3B"/>
    <w:rsid w:val="00781B87"/>
    <w:rsid w:val="007864E1"/>
    <w:rsid w:val="00790C2C"/>
    <w:rsid w:val="00795176"/>
    <w:rsid w:val="007A087B"/>
    <w:rsid w:val="007A1711"/>
    <w:rsid w:val="007A181F"/>
    <w:rsid w:val="007A52A8"/>
    <w:rsid w:val="007B07FB"/>
    <w:rsid w:val="007B0925"/>
    <w:rsid w:val="007C1EF3"/>
    <w:rsid w:val="007D5A77"/>
    <w:rsid w:val="007D5B63"/>
    <w:rsid w:val="007D7F7A"/>
    <w:rsid w:val="007E3337"/>
    <w:rsid w:val="007E34C8"/>
    <w:rsid w:val="007F6A42"/>
    <w:rsid w:val="00803644"/>
    <w:rsid w:val="00810868"/>
    <w:rsid w:val="00810883"/>
    <w:rsid w:val="00830036"/>
    <w:rsid w:val="00835E9C"/>
    <w:rsid w:val="00846627"/>
    <w:rsid w:val="00846A50"/>
    <w:rsid w:val="0084755E"/>
    <w:rsid w:val="00851756"/>
    <w:rsid w:val="00853124"/>
    <w:rsid w:val="00867E82"/>
    <w:rsid w:val="0088729A"/>
    <w:rsid w:val="0089356C"/>
    <w:rsid w:val="008A0122"/>
    <w:rsid w:val="008A6BF0"/>
    <w:rsid w:val="008B458A"/>
    <w:rsid w:val="008B6085"/>
    <w:rsid w:val="008C6E3C"/>
    <w:rsid w:val="008C7FEF"/>
    <w:rsid w:val="008D36B6"/>
    <w:rsid w:val="008D61D1"/>
    <w:rsid w:val="008D79AB"/>
    <w:rsid w:val="008F1891"/>
    <w:rsid w:val="008F1D67"/>
    <w:rsid w:val="008F39FB"/>
    <w:rsid w:val="0090220E"/>
    <w:rsid w:val="00904F8D"/>
    <w:rsid w:val="009134FC"/>
    <w:rsid w:val="0092156A"/>
    <w:rsid w:val="00921AD8"/>
    <w:rsid w:val="00922F45"/>
    <w:rsid w:val="009260DF"/>
    <w:rsid w:val="00934E38"/>
    <w:rsid w:val="00936877"/>
    <w:rsid w:val="00942EF5"/>
    <w:rsid w:val="00946BFB"/>
    <w:rsid w:val="00956C5C"/>
    <w:rsid w:val="00960112"/>
    <w:rsid w:val="0097360D"/>
    <w:rsid w:val="00973C75"/>
    <w:rsid w:val="00980BEB"/>
    <w:rsid w:val="00981F73"/>
    <w:rsid w:val="00991EBF"/>
    <w:rsid w:val="00995968"/>
    <w:rsid w:val="00997810"/>
    <w:rsid w:val="009A0361"/>
    <w:rsid w:val="009A0A09"/>
    <w:rsid w:val="009B58D1"/>
    <w:rsid w:val="009C0666"/>
    <w:rsid w:val="009C1366"/>
    <w:rsid w:val="009D29DE"/>
    <w:rsid w:val="009E2D52"/>
    <w:rsid w:val="009F03E7"/>
    <w:rsid w:val="009F7286"/>
    <w:rsid w:val="00A01A7C"/>
    <w:rsid w:val="00A1080F"/>
    <w:rsid w:val="00A211C8"/>
    <w:rsid w:val="00A23F2A"/>
    <w:rsid w:val="00A3364A"/>
    <w:rsid w:val="00A4140C"/>
    <w:rsid w:val="00A45145"/>
    <w:rsid w:val="00A46BA1"/>
    <w:rsid w:val="00A52634"/>
    <w:rsid w:val="00A53F42"/>
    <w:rsid w:val="00A639EF"/>
    <w:rsid w:val="00A77361"/>
    <w:rsid w:val="00A77DDC"/>
    <w:rsid w:val="00A82E6D"/>
    <w:rsid w:val="00A91831"/>
    <w:rsid w:val="00A91B4D"/>
    <w:rsid w:val="00A92E1F"/>
    <w:rsid w:val="00A93D51"/>
    <w:rsid w:val="00A96DB0"/>
    <w:rsid w:val="00A97C83"/>
    <w:rsid w:val="00AB67FF"/>
    <w:rsid w:val="00AC15ED"/>
    <w:rsid w:val="00AC41B1"/>
    <w:rsid w:val="00AC5425"/>
    <w:rsid w:val="00AC6A5F"/>
    <w:rsid w:val="00AD3301"/>
    <w:rsid w:val="00AD340B"/>
    <w:rsid w:val="00AD708C"/>
    <w:rsid w:val="00AD71DC"/>
    <w:rsid w:val="00AF06F1"/>
    <w:rsid w:val="00B0366E"/>
    <w:rsid w:val="00B04694"/>
    <w:rsid w:val="00B0698E"/>
    <w:rsid w:val="00B17F2F"/>
    <w:rsid w:val="00B20588"/>
    <w:rsid w:val="00B33C50"/>
    <w:rsid w:val="00B35417"/>
    <w:rsid w:val="00B47FDF"/>
    <w:rsid w:val="00B62D7C"/>
    <w:rsid w:val="00B65132"/>
    <w:rsid w:val="00B66476"/>
    <w:rsid w:val="00B66828"/>
    <w:rsid w:val="00B97E47"/>
    <w:rsid w:val="00BA3763"/>
    <w:rsid w:val="00BA4DAF"/>
    <w:rsid w:val="00BB282B"/>
    <w:rsid w:val="00BB3DA3"/>
    <w:rsid w:val="00BC2AB9"/>
    <w:rsid w:val="00BC376C"/>
    <w:rsid w:val="00BD108E"/>
    <w:rsid w:val="00BD670D"/>
    <w:rsid w:val="00BD6DB6"/>
    <w:rsid w:val="00BF6EC0"/>
    <w:rsid w:val="00C06B2C"/>
    <w:rsid w:val="00C07F44"/>
    <w:rsid w:val="00C12EE4"/>
    <w:rsid w:val="00C147C9"/>
    <w:rsid w:val="00C27BF2"/>
    <w:rsid w:val="00C36C7A"/>
    <w:rsid w:val="00C36FE1"/>
    <w:rsid w:val="00C42882"/>
    <w:rsid w:val="00C4639C"/>
    <w:rsid w:val="00C51FAF"/>
    <w:rsid w:val="00C52E09"/>
    <w:rsid w:val="00C552FE"/>
    <w:rsid w:val="00C56B5A"/>
    <w:rsid w:val="00C633F8"/>
    <w:rsid w:val="00C666F4"/>
    <w:rsid w:val="00C92EBE"/>
    <w:rsid w:val="00C9635F"/>
    <w:rsid w:val="00C975F3"/>
    <w:rsid w:val="00CA1F58"/>
    <w:rsid w:val="00CA6977"/>
    <w:rsid w:val="00CB4956"/>
    <w:rsid w:val="00CB7DFD"/>
    <w:rsid w:val="00CE2A76"/>
    <w:rsid w:val="00CE3B45"/>
    <w:rsid w:val="00CE3E62"/>
    <w:rsid w:val="00CF0511"/>
    <w:rsid w:val="00CF385C"/>
    <w:rsid w:val="00D00414"/>
    <w:rsid w:val="00D01290"/>
    <w:rsid w:val="00D028C5"/>
    <w:rsid w:val="00D052B8"/>
    <w:rsid w:val="00D2173F"/>
    <w:rsid w:val="00D229F5"/>
    <w:rsid w:val="00D27B30"/>
    <w:rsid w:val="00D31210"/>
    <w:rsid w:val="00D368A4"/>
    <w:rsid w:val="00D420EB"/>
    <w:rsid w:val="00D5385B"/>
    <w:rsid w:val="00D540C8"/>
    <w:rsid w:val="00D567C6"/>
    <w:rsid w:val="00D603FB"/>
    <w:rsid w:val="00D65AB3"/>
    <w:rsid w:val="00D729A6"/>
    <w:rsid w:val="00D86E1B"/>
    <w:rsid w:val="00D93DF1"/>
    <w:rsid w:val="00DA0A33"/>
    <w:rsid w:val="00DB5070"/>
    <w:rsid w:val="00DC10D2"/>
    <w:rsid w:val="00DC16DE"/>
    <w:rsid w:val="00DC1AF9"/>
    <w:rsid w:val="00DC294A"/>
    <w:rsid w:val="00DD6052"/>
    <w:rsid w:val="00DE02DD"/>
    <w:rsid w:val="00DE0B98"/>
    <w:rsid w:val="00DE381C"/>
    <w:rsid w:val="00DE593D"/>
    <w:rsid w:val="00DF3BEB"/>
    <w:rsid w:val="00DF4CE3"/>
    <w:rsid w:val="00DF7099"/>
    <w:rsid w:val="00E03130"/>
    <w:rsid w:val="00E03658"/>
    <w:rsid w:val="00E107CC"/>
    <w:rsid w:val="00E168C6"/>
    <w:rsid w:val="00E275FA"/>
    <w:rsid w:val="00E27B15"/>
    <w:rsid w:val="00E3190A"/>
    <w:rsid w:val="00E33D12"/>
    <w:rsid w:val="00E41F78"/>
    <w:rsid w:val="00E440A8"/>
    <w:rsid w:val="00E46D82"/>
    <w:rsid w:val="00E536F6"/>
    <w:rsid w:val="00E55C7B"/>
    <w:rsid w:val="00E576F4"/>
    <w:rsid w:val="00E76130"/>
    <w:rsid w:val="00E900C5"/>
    <w:rsid w:val="00E90227"/>
    <w:rsid w:val="00E91232"/>
    <w:rsid w:val="00E953FC"/>
    <w:rsid w:val="00E96E77"/>
    <w:rsid w:val="00EC1AB4"/>
    <w:rsid w:val="00EC50CF"/>
    <w:rsid w:val="00EC5EE4"/>
    <w:rsid w:val="00EC6427"/>
    <w:rsid w:val="00EC7B25"/>
    <w:rsid w:val="00ED289B"/>
    <w:rsid w:val="00ED5573"/>
    <w:rsid w:val="00EE1D67"/>
    <w:rsid w:val="00EE2322"/>
    <w:rsid w:val="00EE3D55"/>
    <w:rsid w:val="00EE40D1"/>
    <w:rsid w:val="00EE68DF"/>
    <w:rsid w:val="00EF5CE3"/>
    <w:rsid w:val="00F06A8A"/>
    <w:rsid w:val="00F06B4D"/>
    <w:rsid w:val="00F102EA"/>
    <w:rsid w:val="00F23152"/>
    <w:rsid w:val="00F23FA8"/>
    <w:rsid w:val="00F4599E"/>
    <w:rsid w:val="00F51203"/>
    <w:rsid w:val="00F6691E"/>
    <w:rsid w:val="00F673E5"/>
    <w:rsid w:val="00F70910"/>
    <w:rsid w:val="00F74921"/>
    <w:rsid w:val="00F83363"/>
    <w:rsid w:val="00F847C4"/>
    <w:rsid w:val="00F8793E"/>
    <w:rsid w:val="00F91373"/>
    <w:rsid w:val="00F913E9"/>
    <w:rsid w:val="00F966D4"/>
    <w:rsid w:val="00FA1943"/>
    <w:rsid w:val="00FA3AB4"/>
    <w:rsid w:val="00FA43CA"/>
    <w:rsid w:val="00FA4460"/>
    <w:rsid w:val="00FC739E"/>
    <w:rsid w:val="00FF02CE"/>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96E77"/>
    <w:pPr>
      <w:jc w:val="both"/>
    </w:pPr>
    <w:rPr>
      <w:sz w:val="24"/>
      <w:lang w:val="en-US" w:eastAsia="en-US"/>
    </w:rPr>
  </w:style>
  <w:style w:type="paragraph" w:styleId="Heading1">
    <w:name w:val="heading 1"/>
    <w:basedOn w:val="Normal"/>
    <w:next w:val="Normal"/>
    <w:link w:val="Heading1Char"/>
    <w:uiPriority w:val="99"/>
    <w:qFormat/>
    <w:rsid w:val="00D00414"/>
    <w:pPr>
      <w:spacing w:before="480"/>
      <w:contextualSpacing/>
      <w:outlineLvl w:val="0"/>
    </w:pPr>
    <w:rPr>
      <w:b/>
      <w:bCs/>
      <w:color w:val="333333"/>
      <w:sz w:val="28"/>
      <w:szCs w:val="28"/>
    </w:rPr>
  </w:style>
  <w:style w:type="paragraph" w:styleId="Heading2">
    <w:name w:val="heading 2"/>
    <w:basedOn w:val="Normal"/>
    <w:next w:val="Normal"/>
    <w:link w:val="Heading2Char"/>
    <w:uiPriority w:val="99"/>
    <w:qFormat/>
    <w:rsid w:val="00D00414"/>
    <w:pPr>
      <w:spacing w:before="200"/>
      <w:outlineLvl w:val="1"/>
    </w:pPr>
    <w:rPr>
      <w:b/>
      <w:bCs/>
      <w:color w:val="4D4D4D"/>
      <w:sz w:val="26"/>
      <w:szCs w:val="26"/>
    </w:rPr>
  </w:style>
  <w:style w:type="paragraph" w:styleId="Heading3">
    <w:name w:val="heading 3"/>
    <w:basedOn w:val="Normal"/>
    <w:next w:val="Normal"/>
    <w:link w:val="Heading3Char"/>
    <w:uiPriority w:val="99"/>
    <w:qFormat/>
    <w:rsid w:val="00D00414"/>
    <w:pPr>
      <w:spacing w:before="200" w:line="271" w:lineRule="auto"/>
      <w:outlineLvl w:val="2"/>
    </w:pPr>
    <w:rPr>
      <w:b/>
      <w:bCs/>
      <w:color w:val="5F5F5F"/>
    </w:rPr>
  </w:style>
  <w:style w:type="paragraph" w:styleId="Heading4">
    <w:name w:val="heading 4"/>
    <w:basedOn w:val="Normal"/>
    <w:next w:val="Normal"/>
    <w:link w:val="Heading4Char"/>
    <w:uiPriority w:val="99"/>
    <w:qFormat/>
    <w:rsid w:val="00D00414"/>
    <w:pPr>
      <w:spacing w:before="200"/>
      <w:outlineLvl w:val="3"/>
    </w:pPr>
    <w:rPr>
      <w:b/>
      <w:bCs/>
      <w:i/>
      <w:iCs/>
      <w:color w:val="777777"/>
    </w:rPr>
  </w:style>
  <w:style w:type="paragraph" w:styleId="Heading5">
    <w:name w:val="heading 5"/>
    <w:basedOn w:val="Normal"/>
    <w:next w:val="Normal"/>
    <w:link w:val="Heading5Char"/>
    <w:uiPriority w:val="99"/>
    <w:qFormat/>
    <w:rsid w:val="00D00414"/>
    <w:pPr>
      <w:spacing w:before="200"/>
      <w:outlineLvl w:val="4"/>
    </w:pPr>
    <w:rPr>
      <w:b/>
      <w:bCs/>
      <w:color w:val="808080"/>
      <w:sz w:val="22"/>
      <w:lang w:val="fr-FR" w:eastAsia="fr-FR"/>
    </w:rPr>
  </w:style>
  <w:style w:type="paragraph" w:styleId="Heading6">
    <w:name w:val="heading 6"/>
    <w:basedOn w:val="Normal"/>
    <w:next w:val="Normal"/>
    <w:link w:val="Heading6Char"/>
    <w:uiPriority w:val="99"/>
    <w:qFormat/>
    <w:rsid w:val="00D00414"/>
    <w:pPr>
      <w:spacing w:line="271" w:lineRule="auto"/>
      <w:outlineLvl w:val="5"/>
    </w:pPr>
    <w:rPr>
      <w:b/>
      <w:bCs/>
      <w:i/>
      <w:iCs/>
      <w:color w:val="7F7F7F"/>
    </w:rPr>
  </w:style>
  <w:style w:type="paragraph" w:styleId="Heading7">
    <w:name w:val="heading 7"/>
    <w:basedOn w:val="Normal"/>
    <w:next w:val="Normal"/>
    <w:link w:val="Heading7Char"/>
    <w:uiPriority w:val="99"/>
    <w:qFormat/>
    <w:rsid w:val="00D00414"/>
    <w:pPr>
      <w:outlineLvl w:val="6"/>
    </w:pPr>
    <w:rPr>
      <w:i/>
      <w:iCs/>
      <w:sz w:val="22"/>
      <w:lang w:val="fr-FR" w:eastAsia="fr-FR"/>
    </w:rPr>
  </w:style>
  <w:style w:type="paragraph" w:styleId="Heading8">
    <w:name w:val="heading 8"/>
    <w:basedOn w:val="Normal"/>
    <w:next w:val="Normal"/>
    <w:link w:val="Heading8Char"/>
    <w:uiPriority w:val="99"/>
    <w:qFormat/>
    <w:rsid w:val="00D00414"/>
    <w:pPr>
      <w:outlineLvl w:val="7"/>
    </w:pPr>
    <w:rPr>
      <w:sz w:val="20"/>
      <w:szCs w:val="20"/>
      <w:lang w:val="fr-FR" w:eastAsia="fr-FR"/>
    </w:rPr>
  </w:style>
  <w:style w:type="paragraph" w:styleId="Heading9">
    <w:name w:val="heading 9"/>
    <w:basedOn w:val="Normal"/>
    <w:next w:val="Normal"/>
    <w:link w:val="Heading9Char"/>
    <w:uiPriority w:val="99"/>
    <w:qFormat/>
    <w:rsid w:val="00D00414"/>
    <w:pPr>
      <w:outlineLvl w:val="8"/>
    </w:pPr>
    <w:rPr>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00414"/>
    <w:rPr>
      <w:rFonts w:ascii="Times New Roman"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D00414"/>
    <w:rPr>
      <w:rFonts w:ascii="Times New Roman"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D00414"/>
    <w:rPr>
      <w:rFonts w:ascii="Times New Roman" w:hAnsi="Times New Roman" w:cs="Times New Roman"/>
      <w:b/>
      <w:bCs/>
      <w:color w:val="5F5F5F"/>
      <w:sz w:val="24"/>
      <w:lang w:val="en-US" w:eastAsia="en-US"/>
    </w:rPr>
  </w:style>
  <w:style w:type="character" w:customStyle="1" w:styleId="Heading4Char">
    <w:name w:val="Heading 4 Char"/>
    <w:basedOn w:val="DefaultParagraphFont"/>
    <w:link w:val="Heading4"/>
    <w:uiPriority w:val="99"/>
    <w:semiHidden/>
    <w:locked/>
    <w:rsid w:val="00D00414"/>
    <w:rPr>
      <w:rFonts w:ascii="Times New Roman"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semiHidden/>
    <w:locked/>
    <w:rsid w:val="00D00414"/>
    <w:rPr>
      <w:rFonts w:ascii="Times New Roman" w:hAnsi="Times New Roman" w:cs="Times New Roman"/>
      <w:b/>
      <w:bCs/>
      <w:color w:val="808080"/>
    </w:rPr>
  </w:style>
  <w:style w:type="character" w:customStyle="1" w:styleId="Heading6Char">
    <w:name w:val="Heading 6 Char"/>
    <w:basedOn w:val="DefaultParagraphFont"/>
    <w:link w:val="Heading6"/>
    <w:uiPriority w:val="99"/>
    <w:semiHidden/>
    <w:locked/>
    <w:rsid w:val="00D00414"/>
    <w:rPr>
      <w:rFonts w:ascii="Times New Roman"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semiHidden/>
    <w:locked/>
    <w:rsid w:val="00D00414"/>
    <w:rPr>
      <w:rFonts w:ascii="Times New Roman" w:hAnsi="Times New Roman" w:cs="Times New Roman"/>
      <w:i/>
      <w:iCs/>
    </w:rPr>
  </w:style>
  <w:style w:type="character" w:customStyle="1" w:styleId="Heading8Char">
    <w:name w:val="Heading 8 Char"/>
    <w:basedOn w:val="DefaultParagraphFont"/>
    <w:link w:val="Heading8"/>
    <w:uiPriority w:val="99"/>
    <w:semiHidden/>
    <w:locked/>
    <w:rsid w:val="00D00414"/>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D00414"/>
    <w:rPr>
      <w:rFonts w:ascii="Times New Roman" w:hAnsi="Times New Roman" w:cs="Times New Roman"/>
      <w:i/>
      <w:iCs/>
      <w:spacing w:val="5"/>
      <w:sz w:val="20"/>
      <w:szCs w:val="20"/>
    </w:rPr>
  </w:style>
  <w:style w:type="paragraph" w:customStyle="1" w:styleId="ECHRHeading1">
    <w:name w:val="ECHR_Heading_1"/>
    <w:aliases w:val="Ju_H_I_Roman"/>
    <w:basedOn w:val="Heading1"/>
    <w:next w:val="ECHRPara"/>
    <w:link w:val="JuHIRomanChar"/>
    <w:uiPriority w:val="99"/>
    <w:rsid w:val="00D00414"/>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99"/>
    <w:rsid w:val="00D00414"/>
    <w:pPr>
      <w:keepNext/>
      <w:keepLines/>
      <w:spacing w:before="720" w:after="240"/>
      <w:outlineLvl w:val="0"/>
    </w:pPr>
    <w:rPr>
      <w:sz w:val="28"/>
      <w:lang w:val="fr-FR" w:eastAsia="fr-FR"/>
    </w:rPr>
  </w:style>
  <w:style w:type="paragraph" w:customStyle="1" w:styleId="ECHRPara">
    <w:name w:val="ECHR_Para"/>
    <w:aliases w:val="Ju_Para"/>
    <w:basedOn w:val="Normal"/>
    <w:link w:val="JuParaCar"/>
    <w:uiPriority w:val="99"/>
    <w:rsid w:val="00E96E77"/>
    <w:pPr>
      <w:ind w:firstLine="284"/>
    </w:pPr>
    <w:rPr>
      <w:szCs w:val="20"/>
    </w:rPr>
  </w:style>
  <w:style w:type="character" w:customStyle="1" w:styleId="JuParaCar">
    <w:name w:val="Ju_Para Car"/>
    <w:link w:val="ECHRPara"/>
    <w:uiPriority w:val="99"/>
    <w:locked/>
    <w:rsid w:val="009D29DE"/>
    <w:rPr>
      <w:rFonts w:eastAsia="Times New Roman"/>
      <w:sz w:val="24"/>
      <w:lang w:val="en-US" w:eastAsia="en-US"/>
    </w:rPr>
  </w:style>
  <w:style w:type="character" w:customStyle="1" w:styleId="JuHIRomanChar">
    <w:name w:val="Ju_H_I_Roman Char"/>
    <w:link w:val="ECHRHeading1"/>
    <w:uiPriority w:val="99"/>
    <w:locked/>
    <w:rsid w:val="00D31210"/>
    <w:rPr>
      <w:rFonts w:ascii="Times New Roman" w:hAnsi="Times New Roman"/>
      <w:sz w:val="28"/>
    </w:rPr>
  </w:style>
  <w:style w:type="paragraph" w:styleId="Footer">
    <w:name w:val="footer"/>
    <w:basedOn w:val="Normal"/>
    <w:link w:val="FooterChar"/>
    <w:uiPriority w:val="99"/>
    <w:semiHidden/>
    <w:rsid w:val="00D00414"/>
    <w:pPr>
      <w:tabs>
        <w:tab w:val="center" w:pos="4536"/>
        <w:tab w:val="right" w:pos="9696"/>
      </w:tabs>
      <w:ind w:left="-680" w:right="-680"/>
    </w:pPr>
  </w:style>
  <w:style w:type="character" w:customStyle="1" w:styleId="FooterChar">
    <w:name w:val="Footer Char"/>
    <w:basedOn w:val="DefaultParagraphFont"/>
    <w:link w:val="Footer"/>
    <w:uiPriority w:val="99"/>
    <w:semiHidden/>
    <w:locked/>
    <w:rsid w:val="00D00414"/>
    <w:rPr>
      <w:rFonts w:cs="Times New Roman"/>
      <w:sz w:val="24"/>
      <w:lang w:val="en-US" w:eastAsia="en-US"/>
    </w:rPr>
  </w:style>
  <w:style w:type="paragraph" w:customStyle="1" w:styleId="ECHRDecisionBody">
    <w:name w:val="ECHR_Decision_Body"/>
    <w:aliases w:val="Ju_Judges"/>
    <w:basedOn w:val="Normal"/>
    <w:link w:val="JuJudgesChar"/>
    <w:uiPriority w:val="99"/>
    <w:rsid w:val="00D00414"/>
    <w:pPr>
      <w:tabs>
        <w:tab w:val="left" w:pos="567"/>
        <w:tab w:val="left" w:pos="1134"/>
      </w:tabs>
      <w:jc w:val="left"/>
    </w:pPr>
    <w:rPr>
      <w:szCs w:val="20"/>
      <w:lang w:val="fr-FR" w:eastAsia="fr-FR"/>
    </w:rPr>
  </w:style>
  <w:style w:type="character" w:customStyle="1" w:styleId="JuJudgesChar">
    <w:name w:val="Ju_Judges Char"/>
    <w:link w:val="ECHRDecisionBody"/>
    <w:uiPriority w:val="99"/>
    <w:locked/>
    <w:rsid w:val="00287191"/>
    <w:rPr>
      <w:rFonts w:eastAsia="Times New Roman"/>
      <w:sz w:val="24"/>
    </w:rPr>
  </w:style>
  <w:style w:type="character" w:styleId="Strong">
    <w:name w:val="Strong"/>
    <w:basedOn w:val="DefaultParagraphFont"/>
    <w:uiPriority w:val="99"/>
    <w:qFormat/>
    <w:rsid w:val="00D00414"/>
    <w:rPr>
      <w:rFonts w:cs="Times New Roman"/>
      <w:b/>
    </w:rPr>
  </w:style>
  <w:style w:type="paragraph" w:customStyle="1" w:styleId="ECHRHeading2">
    <w:name w:val="ECHR_Heading_2"/>
    <w:aliases w:val="Ju_H_A"/>
    <w:basedOn w:val="Heading2"/>
    <w:next w:val="ECHRPara"/>
    <w:uiPriority w:val="99"/>
    <w:rsid w:val="00D0041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link w:val="JuQuotChar"/>
    <w:uiPriority w:val="99"/>
    <w:rsid w:val="00D00414"/>
    <w:pPr>
      <w:spacing w:before="120" w:after="120"/>
      <w:ind w:left="425" w:firstLine="142"/>
    </w:pPr>
    <w:rPr>
      <w:sz w:val="20"/>
      <w:lang w:val="fr-FR" w:eastAsia="fr-FR"/>
    </w:rPr>
  </w:style>
  <w:style w:type="paragraph" w:customStyle="1" w:styleId="JuSigned">
    <w:name w:val="Ju_Signed"/>
    <w:basedOn w:val="Normal"/>
    <w:next w:val="JuParaLast"/>
    <w:uiPriority w:val="99"/>
    <w:rsid w:val="00D0041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99"/>
    <w:rsid w:val="00D00414"/>
    <w:pPr>
      <w:keepNext/>
      <w:keepLines/>
      <w:spacing w:before="240"/>
      <w:ind w:firstLine="284"/>
    </w:pPr>
    <w:rPr>
      <w:lang w:val="fr-FR" w:eastAsia="fr-FR"/>
    </w:rPr>
  </w:style>
  <w:style w:type="paragraph" w:customStyle="1" w:styleId="JuCase">
    <w:name w:val="Ju_Case"/>
    <w:basedOn w:val="Normal"/>
    <w:next w:val="ECHRPara"/>
    <w:uiPriority w:val="99"/>
    <w:rsid w:val="00D00414"/>
    <w:pPr>
      <w:ind w:firstLine="284"/>
    </w:pPr>
    <w:rPr>
      <w:b/>
    </w:rPr>
  </w:style>
  <w:style w:type="paragraph" w:customStyle="1" w:styleId="JuList">
    <w:name w:val="Ju_List"/>
    <w:basedOn w:val="Normal"/>
    <w:uiPriority w:val="99"/>
    <w:rsid w:val="00D00414"/>
    <w:pPr>
      <w:ind w:left="340" w:hanging="340"/>
    </w:pPr>
    <w:rPr>
      <w:lang w:val="fr-FR" w:eastAsia="fr-FR"/>
    </w:rPr>
  </w:style>
  <w:style w:type="paragraph" w:customStyle="1" w:styleId="JuCourt">
    <w:name w:val="Ju_Court"/>
    <w:basedOn w:val="Normal"/>
    <w:next w:val="Normal"/>
    <w:uiPriority w:val="99"/>
    <w:rsid w:val="00D00414"/>
    <w:pPr>
      <w:tabs>
        <w:tab w:val="left" w:pos="907"/>
        <w:tab w:val="left" w:pos="1701"/>
        <w:tab w:val="right" w:pos="7371"/>
      </w:tabs>
      <w:spacing w:before="240"/>
      <w:ind w:left="397" w:hanging="397"/>
      <w:jc w:val="left"/>
    </w:pPr>
    <w:rPr>
      <w:lang w:val="fr-FR" w:eastAsia="fr-FR"/>
    </w:rPr>
  </w:style>
  <w:style w:type="paragraph" w:styleId="FootnoteText">
    <w:name w:val="footnote text"/>
    <w:basedOn w:val="Normal"/>
    <w:link w:val="FootnoteTextChar"/>
    <w:uiPriority w:val="99"/>
    <w:semiHidden/>
    <w:rsid w:val="00D00414"/>
    <w:rPr>
      <w:sz w:val="20"/>
      <w:szCs w:val="20"/>
    </w:rPr>
  </w:style>
  <w:style w:type="character" w:customStyle="1" w:styleId="FootnoteTextChar">
    <w:name w:val="Footnote Text Char"/>
    <w:basedOn w:val="DefaultParagraphFont"/>
    <w:link w:val="FootnoteText"/>
    <w:uiPriority w:val="99"/>
    <w:semiHidden/>
    <w:locked/>
    <w:rsid w:val="00D00414"/>
    <w:rPr>
      <w:rFonts w:eastAsia="Times New Roman" w:cs="Times New Roman"/>
      <w:sz w:val="20"/>
      <w:szCs w:val="20"/>
      <w:lang w:val="en-US" w:eastAsia="en-US"/>
    </w:rPr>
  </w:style>
  <w:style w:type="character" w:styleId="FootnoteReference">
    <w:name w:val="footnote reference"/>
    <w:basedOn w:val="DefaultParagraphFont"/>
    <w:uiPriority w:val="99"/>
    <w:semiHidden/>
    <w:rsid w:val="00D00414"/>
    <w:rPr>
      <w:rFonts w:cs="Times New Roman"/>
      <w:vertAlign w:val="superscript"/>
    </w:rPr>
  </w:style>
  <w:style w:type="paragraph" w:styleId="Header">
    <w:name w:val="header"/>
    <w:basedOn w:val="Normal"/>
    <w:link w:val="HeaderChar"/>
    <w:uiPriority w:val="99"/>
    <w:semiHidden/>
    <w:rsid w:val="00D00414"/>
    <w:pPr>
      <w:tabs>
        <w:tab w:val="center" w:pos="4536"/>
        <w:tab w:val="right" w:pos="9072"/>
      </w:tabs>
    </w:pPr>
  </w:style>
  <w:style w:type="character" w:customStyle="1" w:styleId="HeaderChar">
    <w:name w:val="Header Char"/>
    <w:basedOn w:val="DefaultParagraphFont"/>
    <w:link w:val="Header"/>
    <w:uiPriority w:val="99"/>
    <w:semiHidden/>
    <w:locked/>
    <w:rsid w:val="00D00414"/>
    <w:rPr>
      <w:rFonts w:cs="Times New Roman"/>
      <w:sz w:val="24"/>
      <w:lang w:val="en-US" w:eastAsia="en-US"/>
    </w:rPr>
  </w:style>
  <w:style w:type="character" w:styleId="PageNumber">
    <w:name w:val="page number"/>
    <w:basedOn w:val="DefaultParagraphFont"/>
    <w:uiPriority w:val="99"/>
    <w:semiHidden/>
    <w:rsid w:val="004219F0"/>
    <w:rPr>
      <w:rFonts w:ascii="Times New Roman" w:hAnsi="Times New Roman" w:cs="Times New Roman"/>
      <w:sz w:val="18"/>
    </w:rPr>
  </w:style>
  <w:style w:type="paragraph" w:customStyle="1" w:styleId="JuLista">
    <w:name w:val="Ju_List_a"/>
    <w:basedOn w:val="JuList"/>
    <w:uiPriority w:val="99"/>
    <w:rsid w:val="00D00414"/>
    <w:pPr>
      <w:ind w:left="346" w:firstLine="0"/>
    </w:pPr>
  </w:style>
  <w:style w:type="paragraph" w:customStyle="1" w:styleId="JuListi">
    <w:name w:val="Ju_List_i"/>
    <w:basedOn w:val="Normal"/>
    <w:next w:val="JuLista"/>
    <w:uiPriority w:val="99"/>
    <w:rsid w:val="00D00414"/>
    <w:pPr>
      <w:ind w:left="794"/>
    </w:pPr>
    <w:rPr>
      <w:lang w:val="fr-FR" w:eastAsia="fr-FR"/>
    </w:rPr>
  </w:style>
  <w:style w:type="character" w:styleId="CommentReference">
    <w:name w:val="annotation reference"/>
    <w:basedOn w:val="DefaultParagraphFont"/>
    <w:uiPriority w:val="99"/>
    <w:semiHidden/>
    <w:rsid w:val="00433101"/>
    <w:rPr>
      <w:rFonts w:cs="Times New Roman"/>
      <w:sz w:val="16"/>
    </w:rPr>
  </w:style>
  <w:style w:type="paragraph" w:styleId="CommentText">
    <w:name w:val="annotation text"/>
    <w:basedOn w:val="Normal"/>
    <w:link w:val="CommentTextChar"/>
    <w:uiPriority w:val="99"/>
    <w:semiHidden/>
    <w:rsid w:val="00433101"/>
    <w:rPr>
      <w:sz w:val="20"/>
    </w:rPr>
  </w:style>
  <w:style w:type="character" w:customStyle="1" w:styleId="CommentTextChar">
    <w:name w:val="Comment Text Char"/>
    <w:basedOn w:val="DefaultParagraphFont"/>
    <w:link w:val="CommentText"/>
    <w:uiPriority w:val="99"/>
    <w:semiHidden/>
    <w:rsid w:val="00CE0C2F"/>
    <w:rPr>
      <w:sz w:val="20"/>
      <w:szCs w:val="20"/>
      <w:lang w:val="en-US" w:eastAsia="en-US"/>
    </w:rPr>
  </w:style>
  <w:style w:type="paragraph" w:styleId="BalloonText">
    <w:name w:val="Balloon Text"/>
    <w:basedOn w:val="Normal"/>
    <w:link w:val="BalloonTextChar"/>
    <w:uiPriority w:val="99"/>
    <w:semiHidden/>
    <w:rsid w:val="00D00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414"/>
    <w:rPr>
      <w:rFonts w:ascii="Tahoma" w:hAnsi="Tahoma" w:cs="Tahoma"/>
      <w:sz w:val="16"/>
      <w:szCs w:val="16"/>
      <w:lang w:val="en-US" w:eastAsia="en-US"/>
    </w:rPr>
  </w:style>
  <w:style w:type="character" w:styleId="Hyperlink">
    <w:name w:val="Hyperlink"/>
    <w:basedOn w:val="DefaultParagraphFont"/>
    <w:uiPriority w:val="99"/>
    <w:semiHidden/>
    <w:rsid w:val="00D00414"/>
    <w:rPr>
      <w:rFonts w:cs="Times New Roman"/>
      <w:color w:val="0072BC"/>
      <w:u w:val="single"/>
    </w:rPr>
  </w:style>
  <w:style w:type="character" w:styleId="EndnoteReference">
    <w:name w:val="endnote reference"/>
    <w:basedOn w:val="DefaultParagraphFont"/>
    <w:uiPriority w:val="99"/>
    <w:semiHidden/>
    <w:rsid w:val="004219F0"/>
    <w:rPr>
      <w:rFonts w:ascii="Times New Roman" w:hAnsi="Times New Roman" w:cs="Times New Roman"/>
      <w:vertAlign w:val="superscript"/>
    </w:rPr>
  </w:style>
  <w:style w:type="paragraph" w:styleId="EndnoteText">
    <w:name w:val="endnote text"/>
    <w:basedOn w:val="Normal"/>
    <w:link w:val="EndnoteTextChar"/>
    <w:uiPriority w:val="99"/>
    <w:semiHidden/>
    <w:rsid w:val="004219F0"/>
    <w:rPr>
      <w:sz w:val="20"/>
    </w:rPr>
  </w:style>
  <w:style w:type="character" w:customStyle="1" w:styleId="EndnoteTextChar">
    <w:name w:val="Endnote Text Char"/>
    <w:basedOn w:val="DefaultParagraphFont"/>
    <w:link w:val="EndnoteText"/>
    <w:uiPriority w:val="99"/>
    <w:semiHidden/>
    <w:rsid w:val="00CE0C2F"/>
    <w:rPr>
      <w:sz w:val="20"/>
      <w:szCs w:val="20"/>
      <w:lang w:val="en-US" w:eastAsia="en-US"/>
    </w:rPr>
  </w:style>
  <w:style w:type="character" w:styleId="FollowedHyperlink">
    <w:name w:val="FollowedHyperlink"/>
    <w:basedOn w:val="DefaultParagraphFont"/>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1"/>
      </w:numPr>
    </w:pPr>
  </w:style>
  <w:style w:type="character" w:customStyle="1" w:styleId="JuNames">
    <w:name w:val="Ju_Names"/>
    <w:uiPriority w:val="99"/>
    <w:rsid w:val="004219F0"/>
    <w:rPr>
      <w:rFonts w:ascii="Times New Roman" w:hAnsi="Times New Roman"/>
      <w:smallCaps/>
    </w:rPr>
  </w:style>
  <w:style w:type="paragraph" w:styleId="CommentSubject">
    <w:name w:val="annotation subject"/>
    <w:basedOn w:val="CommentText"/>
    <w:next w:val="CommentText"/>
    <w:link w:val="CommentSubjectChar"/>
    <w:uiPriority w:val="99"/>
    <w:semiHidden/>
    <w:rsid w:val="00E27B15"/>
    <w:rPr>
      <w:b/>
      <w:bCs/>
    </w:rPr>
  </w:style>
  <w:style w:type="character" w:customStyle="1" w:styleId="CommentSubjectChar">
    <w:name w:val="Comment Subject Char"/>
    <w:basedOn w:val="CommentTextChar"/>
    <w:link w:val="CommentSubject"/>
    <w:uiPriority w:val="99"/>
    <w:semiHidden/>
    <w:rsid w:val="00CE0C2F"/>
    <w:rPr>
      <w:b/>
      <w:bCs/>
    </w:rPr>
  </w:style>
  <w:style w:type="paragraph" w:styleId="DocumentMap">
    <w:name w:val="Document Map"/>
    <w:basedOn w:val="Normal"/>
    <w:link w:val="DocumentMapChar"/>
    <w:uiPriority w:val="99"/>
    <w:semiHidden/>
    <w:rsid w:val="00B33C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E0C2F"/>
    <w:rPr>
      <w:sz w:val="0"/>
      <w:szCs w:val="0"/>
      <w:lang w:val="en-US" w:eastAsia="en-US"/>
    </w:rPr>
  </w:style>
  <w:style w:type="character" w:customStyle="1" w:styleId="JuITMark">
    <w:name w:val="Ju_ITMark"/>
    <w:basedOn w:val="DefaultParagraphFont"/>
    <w:uiPriority w:val="99"/>
    <w:rsid w:val="00D00414"/>
    <w:rPr>
      <w:rFonts w:cs="Times New Roman"/>
      <w:vanish/>
      <w:color w:val="339966"/>
      <w:sz w:val="14"/>
    </w:rPr>
  </w:style>
  <w:style w:type="character" w:styleId="BookTitle">
    <w:name w:val="Book Title"/>
    <w:basedOn w:val="DefaultParagraphFont"/>
    <w:uiPriority w:val="99"/>
    <w:qFormat/>
    <w:rsid w:val="00D00414"/>
    <w:rPr>
      <w:i/>
      <w:smallCaps/>
      <w:spacing w:val="5"/>
    </w:rPr>
  </w:style>
  <w:style w:type="paragraph" w:styleId="NoSpacing">
    <w:name w:val="No Spacing"/>
    <w:basedOn w:val="Normal"/>
    <w:link w:val="NoSpacingChar"/>
    <w:uiPriority w:val="99"/>
    <w:qFormat/>
    <w:rsid w:val="00D00414"/>
    <w:rPr>
      <w:sz w:val="22"/>
      <w:lang w:val="fr-FR" w:eastAsia="fr-FR"/>
    </w:rPr>
  </w:style>
  <w:style w:type="character" w:customStyle="1" w:styleId="NoSpacingChar">
    <w:name w:val="No Spacing Char"/>
    <w:basedOn w:val="DefaultParagraphFont"/>
    <w:link w:val="NoSpacing"/>
    <w:uiPriority w:val="99"/>
    <w:semiHidden/>
    <w:locked/>
    <w:rsid w:val="00D00414"/>
    <w:rPr>
      <w:rFonts w:eastAsia="Times New Roman" w:cs="Times New Roman"/>
    </w:rPr>
  </w:style>
  <w:style w:type="paragraph" w:styleId="Title">
    <w:name w:val="Title"/>
    <w:basedOn w:val="Normal"/>
    <w:next w:val="Normal"/>
    <w:link w:val="TitleChar"/>
    <w:uiPriority w:val="99"/>
    <w:qFormat/>
    <w:rsid w:val="00D00414"/>
    <w:pPr>
      <w:pBdr>
        <w:bottom w:val="single" w:sz="4" w:space="1" w:color="auto"/>
      </w:pBdr>
      <w:contextualSpacing/>
    </w:pPr>
    <w:rPr>
      <w:spacing w:val="5"/>
      <w:sz w:val="52"/>
      <w:szCs w:val="52"/>
      <w:lang w:val="fr-FR" w:eastAsia="fr-FR"/>
    </w:rPr>
  </w:style>
  <w:style w:type="character" w:customStyle="1" w:styleId="TitleChar">
    <w:name w:val="Title Char"/>
    <w:basedOn w:val="DefaultParagraphFont"/>
    <w:link w:val="Title"/>
    <w:uiPriority w:val="99"/>
    <w:semiHidden/>
    <w:locked/>
    <w:rsid w:val="00D00414"/>
    <w:rPr>
      <w:rFonts w:ascii="Times New Roman" w:hAnsi="Times New Roman" w:cs="Times New Roman"/>
      <w:spacing w:val="5"/>
      <w:sz w:val="52"/>
      <w:szCs w:val="52"/>
    </w:rPr>
  </w:style>
  <w:style w:type="paragraph" w:styleId="Subtitle">
    <w:name w:val="Subtitle"/>
    <w:basedOn w:val="Normal"/>
    <w:next w:val="Normal"/>
    <w:link w:val="SubtitleChar"/>
    <w:uiPriority w:val="99"/>
    <w:qFormat/>
    <w:rsid w:val="00D00414"/>
    <w:pPr>
      <w:spacing w:after="600"/>
    </w:pPr>
    <w:rPr>
      <w:i/>
      <w:iCs/>
      <w:spacing w:val="13"/>
      <w:szCs w:val="24"/>
      <w:lang w:val="fr-FR" w:eastAsia="fr-FR"/>
    </w:rPr>
  </w:style>
  <w:style w:type="character" w:customStyle="1" w:styleId="SubtitleChar">
    <w:name w:val="Subtitle Char"/>
    <w:basedOn w:val="DefaultParagraphFont"/>
    <w:link w:val="Subtitle"/>
    <w:uiPriority w:val="99"/>
    <w:semiHidden/>
    <w:locked/>
    <w:rsid w:val="00D00414"/>
    <w:rPr>
      <w:rFonts w:ascii="Times New Roman" w:hAnsi="Times New Roman" w:cs="Times New Roman"/>
      <w:i/>
      <w:iCs/>
      <w:spacing w:val="13"/>
      <w:sz w:val="24"/>
      <w:szCs w:val="24"/>
    </w:rPr>
  </w:style>
  <w:style w:type="paragraph" w:customStyle="1" w:styleId="ECHRFooter">
    <w:name w:val="ECHR_Footer"/>
    <w:aliases w:val="Footer_ECHR"/>
    <w:basedOn w:val="Footer"/>
    <w:uiPriority w:val="99"/>
    <w:semiHidden/>
    <w:rsid w:val="00D00414"/>
    <w:pPr>
      <w:jc w:val="left"/>
    </w:pPr>
    <w:rPr>
      <w:sz w:val="8"/>
    </w:rPr>
  </w:style>
  <w:style w:type="paragraph" w:customStyle="1" w:styleId="ECHRFooterLine">
    <w:name w:val="ECHR_Footer_Line"/>
    <w:aliases w:val="Footer_Line"/>
    <w:basedOn w:val="Normal"/>
    <w:next w:val="ECHRFooter"/>
    <w:uiPriority w:val="99"/>
    <w:semiHidden/>
    <w:rsid w:val="00D00414"/>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D00414"/>
    <w:pPr>
      <w:tabs>
        <w:tab w:val="clear" w:pos="4536"/>
        <w:tab w:val="clear" w:pos="9072"/>
        <w:tab w:val="center" w:pos="3686"/>
        <w:tab w:val="right" w:pos="7371"/>
      </w:tabs>
      <w:jc w:val="left"/>
    </w:pPr>
    <w:rPr>
      <w:sz w:val="18"/>
      <w:lang w:val="fr-FR" w:eastAsia="fr-FR"/>
    </w:rPr>
  </w:style>
  <w:style w:type="character" w:styleId="SubtleEmphasis">
    <w:name w:val="Subtle Emphasis"/>
    <w:basedOn w:val="DefaultParagraphFont"/>
    <w:uiPriority w:val="99"/>
    <w:qFormat/>
    <w:rsid w:val="00D00414"/>
    <w:rPr>
      <w:i/>
    </w:rPr>
  </w:style>
  <w:style w:type="character" w:styleId="Emphasis">
    <w:name w:val="Emphasis"/>
    <w:basedOn w:val="DefaultParagraphFont"/>
    <w:uiPriority w:val="99"/>
    <w:qFormat/>
    <w:rsid w:val="00D00414"/>
    <w:rPr>
      <w:rFonts w:cs="Times New Roman"/>
      <w:b/>
      <w:i/>
      <w:spacing w:val="10"/>
      <w:shd w:val="clear" w:color="auto" w:fill="auto"/>
    </w:rPr>
  </w:style>
  <w:style w:type="character" w:styleId="IntenseEmphasis">
    <w:name w:val="Intense Emphasis"/>
    <w:basedOn w:val="DefaultParagraphFont"/>
    <w:uiPriority w:val="99"/>
    <w:qFormat/>
    <w:rsid w:val="00D00414"/>
    <w:rPr>
      <w:b/>
    </w:rPr>
  </w:style>
  <w:style w:type="paragraph" w:styleId="IntenseQuote">
    <w:name w:val="Intense Quote"/>
    <w:basedOn w:val="Normal"/>
    <w:next w:val="Normal"/>
    <w:link w:val="IntenseQuoteChar"/>
    <w:uiPriority w:val="99"/>
    <w:qFormat/>
    <w:rsid w:val="00D00414"/>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semiHidden/>
    <w:locked/>
    <w:rsid w:val="00D00414"/>
    <w:rPr>
      <w:rFonts w:eastAsia="Times New Roman" w:cs="Times New Roman"/>
      <w:b/>
      <w:bCs/>
      <w:i/>
      <w:iCs/>
    </w:rPr>
  </w:style>
  <w:style w:type="character" w:styleId="IntenseReference">
    <w:name w:val="Intense Reference"/>
    <w:basedOn w:val="DefaultParagraphFont"/>
    <w:uiPriority w:val="99"/>
    <w:qFormat/>
    <w:rsid w:val="00D00414"/>
    <w:rPr>
      <w:smallCaps/>
      <w:spacing w:val="5"/>
      <w:u w:val="single"/>
    </w:rPr>
  </w:style>
  <w:style w:type="paragraph" w:customStyle="1" w:styleId="JuAppQuestion">
    <w:name w:val="Ju_App_Question"/>
    <w:basedOn w:val="Normal"/>
    <w:uiPriority w:val="99"/>
    <w:semiHidden/>
    <w:rsid w:val="00D00414"/>
    <w:pPr>
      <w:numPr>
        <w:numId w:val="12"/>
      </w:numPr>
      <w:jc w:val="left"/>
    </w:pPr>
    <w:rPr>
      <w:b/>
    </w:rPr>
  </w:style>
  <w:style w:type="paragraph" w:customStyle="1" w:styleId="OpiPara">
    <w:name w:val="Opi_Para"/>
    <w:basedOn w:val="ECHRPara"/>
    <w:uiPriority w:val="99"/>
    <w:rsid w:val="00D00414"/>
  </w:style>
  <w:style w:type="paragraph" w:customStyle="1" w:styleId="JuParaSub">
    <w:name w:val="Ju_Para_Sub"/>
    <w:basedOn w:val="ECHRPara"/>
    <w:uiPriority w:val="99"/>
    <w:rsid w:val="00D00414"/>
    <w:pPr>
      <w:ind w:left="284"/>
    </w:pPr>
  </w:style>
  <w:style w:type="paragraph" w:customStyle="1" w:styleId="OpiParaSub">
    <w:name w:val="Opi_Para_Sub"/>
    <w:basedOn w:val="JuParaSub"/>
    <w:uiPriority w:val="99"/>
    <w:rsid w:val="00D00414"/>
  </w:style>
  <w:style w:type="paragraph" w:customStyle="1" w:styleId="OpiQuot">
    <w:name w:val="Opi_Quot"/>
    <w:basedOn w:val="ECHRParaQuote"/>
    <w:uiPriority w:val="99"/>
    <w:rsid w:val="00D00414"/>
  </w:style>
  <w:style w:type="paragraph" w:customStyle="1" w:styleId="OpiQuotSub">
    <w:name w:val="Opi_Quot_Sub"/>
    <w:basedOn w:val="JuQuotSub"/>
    <w:uiPriority w:val="99"/>
    <w:rsid w:val="00D00414"/>
  </w:style>
  <w:style w:type="paragraph" w:styleId="ListParagraph">
    <w:name w:val="List Paragraph"/>
    <w:basedOn w:val="Normal"/>
    <w:uiPriority w:val="99"/>
    <w:qFormat/>
    <w:rsid w:val="00D00414"/>
    <w:pPr>
      <w:ind w:left="720"/>
      <w:contextualSpacing/>
    </w:pPr>
    <w:rPr>
      <w:lang w:val="fr-FR" w:eastAsia="fr-FR"/>
    </w:rPr>
  </w:style>
  <w:style w:type="paragraph" w:styleId="Quote">
    <w:name w:val="Quote"/>
    <w:basedOn w:val="Normal"/>
    <w:next w:val="Normal"/>
    <w:link w:val="QuoteChar"/>
    <w:uiPriority w:val="99"/>
    <w:qFormat/>
    <w:rsid w:val="00D00414"/>
    <w:pPr>
      <w:spacing w:before="200"/>
      <w:ind w:left="360" w:right="360"/>
    </w:pPr>
    <w:rPr>
      <w:i/>
      <w:iCs/>
      <w:sz w:val="22"/>
      <w:lang w:val="fr-FR" w:eastAsia="fr-FR"/>
    </w:rPr>
  </w:style>
  <w:style w:type="character" w:customStyle="1" w:styleId="QuoteChar">
    <w:name w:val="Quote Char"/>
    <w:basedOn w:val="DefaultParagraphFont"/>
    <w:link w:val="Quote"/>
    <w:uiPriority w:val="99"/>
    <w:semiHidden/>
    <w:locked/>
    <w:rsid w:val="00D00414"/>
    <w:rPr>
      <w:rFonts w:eastAsia="Times New Roman" w:cs="Times New Roman"/>
      <w:i/>
      <w:iCs/>
    </w:rPr>
  </w:style>
  <w:style w:type="character" w:styleId="SubtleReference">
    <w:name w:val="Subtle Reference"/>
    <w:basedOn w:val="DefaultParagraphFont"/>
    <w:uiPriority w:val="99"/>
    <w:qFormat/>
    <w:rsid w:val="00D00414"/>
    <w:rPr>
      <w:smallCaps/>
    </w:rPr>
  </w:style>
  <w:style w:type="table" w:styleId="TableGrid">
    <w:name w:val="Table Grid"/>
    <w:basedOn w:val="TableNormal"/>
    <w:uiPriority w:val="99"/>
    <w:semiHidden/>
    <w:rsid w:val="00D00414"/>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00414"/>
    <w:pPr>
      <w:spacing w:before="120" w:after="60"/>
      <w:ind w:left="340" w:right="340" w:hanging="340"/>
    </w:pPr>
    <w:rPr>
      <w:color w:val="0D0D0D"/>
    </w:rPr>
  </w:style>
  <w:style w:type="paragraph" w:styleId="TOC2">
    <w:name w:val="toc 2"/>
    <w:basedOn w:val="Normal"/>
    <w:next w:val="Normal"/>
    <w:autoRedefine/>
    <w:uiPriority w:val="99"/>
    <w:semiHidden/>
    <w:rsid w:val="00D00414"/>
    <w:pPr>
      <w:spacing w:after="60"/>
      <w:ind w:left="680" w:right="340" w:hanging="340"/>
    </w:pPr>
  </w:style>
  <w:style w:type="paragraph" w:styleId="TOC3">
    <w:name w:val="toc 3"/>
    <w:basedOn w:val="Normal"/>
    <w:next w:val="Normal"/>
    <w:autoRedefine/>
    <w:uiPriority w:val="99"/>
    <w:semiHidden/>
    <w:rsid w:val="00D00414"/>
    <w:pPr>
      <w:spacing w:after="60"/>
      <w:ind w:left="1020" w:right="340" w:hanging="340"/>
    </w:pPr>
  </w:style>
  <w:style w:type="paragraph" w:styleId="TOC4">
    <w:name w:val="toc 4"/>
    <w:basedOn w:val="Normal"/>
    <w:next w:val="Normal"/>
    <w:autoRedefine/>
    <w:uiPriority w:val="99"/>
    <w:semiHidden/>
    <w:rsid w:val="00D00414"/>
    <w:pPr>
      <w:tabs>
        <w:tab w:val="right" w:leader="dot" w:pos="9017"/>
      </w:tabs>
      <w:spacing w:after="60"/>
      <w:ind w:left="1361" w:right="340" w:hanging="340"/>
    </w:pPr>
  </w:style>
  <w:style w:type="paragraph" w:styleId="TOC5">
    <w:name w:val="toc 5"/>
    <w:basedOn w:val="Normal"/>
    <w:next w:val="Normal"/>
    <w:autoRedefine/>
    <w:uiPriority w:val="99"/>
    <w:semiHidden/>
    <w:rsid w:val="00D00414"/>
    <w:pPr>
      <w:spacing w:after="60"/>
      <w:ind w:left="1701" w:right="340" w:hanging="340"/>
    </w:pPr>
  </w:style>
  <w:style w:type="paragraph" w:styleId="TOCHeading">
    <w:name w:val="TOC Heading"/>
    <w:basedOn w:val="Heading1"/>
    <w:next w:val="Normal"/>
    <w:uiPriority w:val="99"/>
    <w:qFormat/>
    <w:rsid w:val="00D00414"/>
    <w:pPr>
      <w:outlineLvl w:val="9"/>
    </w:pPr>
    <w:rPr>
      <w:color w:val="474747"/>
      <w:lang w:val="fr-FR" w:eastAsia="fr-FR"/>
    </w:rPr>
  </w:style>
  <w:style w:type="paragraph" w:customStyle="1" w:styleId="ECHRTitleCentre3">
    <w:name w:val="ECHR_Title_Centre_3"/>
    <w:aliases w:val="Ju_H_Article"/>
    <w:basedOn w:val="Normal"/>
    <w:next w:val="ECHRParaQuote"/>
    <w:uiPriority w:val="99"/>
    <w:rsid w:val="00D00414"/>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Normal"/>
    <w:next w:val="ECHRPara"/>
    <w:uiPriority w:val="99"/>
    <w:semiHidden/>
    <w:rsid w:val="00D00414"/>
    <w:pPr>
      <w:spacing w:after="240"/>
      <w:jc w:val="center"/>
      <w:outlineLvl w:val="0"/>
    </w:pPr>
    <w:rPr>
      <w:i/>
    </w:rPr>
  </w:style>
  <w:style w:type="paragraph" w:customStyle="1" w:styleId="JuTitle">
    <w:name w:val="Ju_Title"/>
    <w:basedOn w:val="Normal"/>
    <w:next w:val="ECHRPara"/>
    <w:uiPriority w:val="99"/>
    <w:semiHidden/>
    <w:rsid w:val="00D00414"/>
    <w:pPr>
      <w:spacing w:before="720" w:after="240"/>
      <w:jc w:val="center"/>
      <w:outlineLvl w:val="0"/>
    </w:pPr>
    <w:rPr>
      <w:b/>
      <w:caps/>
    </w:rPr>
  </w:style>
  <w:style w:type="paragraph" w:customStyle="1" w:styleId="ECHRTitleCentre1">
    <w:name w:val="ECHR_Title_Centre_1"/>
    <w:aliases w:val="Opi_H_Head"/>
    <w:basedOn w:val="Normal"/>
    <w:next w:val="OpiPara"/>
    <w:uiPriority w:val="99"/>
    <w:rsid w:val="00D00414"/>
    <w:pPr>
      <w:keepNext/>
      <w:keepLines/>
      <w:spacing w:after="240"/>
      <w:jc w:val="center"/>
      <w:outlineLvl w:val="0"/>
    </w:pPr>
    <w:rPr>
      <w:sz w:val="28"/>
      <w:lang w:val="fr-FR" w:eastAsia="fr-FR"/>
    </w:rPr>
  </w:style>
  <w:style w:type="paragraph" w:customStyle="1" w:styleId="JuQuotSub">
    <w:name w:val="Ju_Quot_Sub"/>
    <w:basedOn w:val="ECHRParaQuote"/>
    <w:uiPriority w:val="99"/>
    <w:rsid w:val="00D00414"/>
    <w:pPr>
      <w:ind w:left="567"/>
    </w:pPr>
  </w:style>
  <w:style w:type="paragraph" w:customStyle="1" w:styleId="JuInitialled">
    <w:name w:val="Ju_Initialled"/>
    <w:basedOn w:val="Normal"/>
    <w:uiPriority w:val="99"/>
    <w:rsid w:val="00D00414"/>
    <w:pPr>
      <w:tabs>
        <w:tab w:val="center" w:pos="6407"/>
      </w:tabs>
      <w:spacing w:before="720"/>
      <w:jc w:val="right"/>
    </w:pPr>
    <w:rPr>
      <w:lang w:val="fr-FR" w:eastAsia="fr-FR"/>
    </w:rPr>
  </w:style>
  <w:style w:type="paragraph" w:customStyle="1" w:styleId="OpiHA">
    <w:name w:val="Opi_H_A"/>
    <w:basedOn w:val="ECHRHeading1"/>
    <w:next w:val="OpiPara"/>
    <w:uiPriority w:val="99"/>
    <w:rsid w:val="00D00414"/>
    <w:pPr>
      <w:tabs>
        <w:tab w:val="clear" w:pos="357"/>
      </w:tabs>
      <w:outlineLvl w:val="1"/>
    </w:pPr>
    <w:rPr>
      <w:b/>
    </w:rPr>
  </w:style>
  <w:style w:type="character" w:customStyle="1" w:styleId="JUNAMES0">
    <w:name w:val="JU_NAMES"/>
    <w:uiPriority w:val="99"/>
    <w:rsid w:val="00D00414"/>
    <w:rPr>
      <w:smallCaps/>
    </w:rPr>
  </w:style>
  <w:style w:type="paragraph" w:customStyle="1" w:styleId="OpiTranslation">
    <w:name w:val="Opi_Translation"/>
    <w:basedOn w:val="Normal"/>
    <w:next w:val="OpiPara"/>
    <w:uiPriority w:val="99"/>
    <w:rsid w:val="00D00414"/>
    <w:pPr>
      <w:jc w:val="center"/>
      <w:outlineLvl w:val="0"/>
    </w:pPr>
    <w:rPr>
      <w:i/>
      <w:lang w:val="fr-FR" w:eastAsia="fr-FR"/>
    </w:rPr>
  </w:style>
  <w:style w:type="paragraph" w:customStyle="1" w:styleId="DecHTitle">
    <w:name w:val="Dec_H_Title"/>
    <w:basedOn w:val="ECHRTitleCentre1"/>
    <w:uiPriority w:val="99"/>
    <w:semiHidden/>
    <w:rsid w:val="00D00414"/>
  </w:style>
  <w:style w:type="paragraph" w:styleId="TOAHeading">
    <w:name w:val="toa heading"/>
    <w:basedOn w:val="Normal"/>
    <w:next w:val="Normal"/>
    <w:uiPriority w:val="99"/>
    <w:semiHidden/>
    <w:rsid w:val="00D00414"/>
    <w:pPr>
      <w:spacing w:before="120"/>
    </w:pPr>
    <w:rPr>
      <w:b/>
      <w:bCs/>
      <w:color w:val="474747"/>
      <w:szCs w:val="24"/>
    </w:rPr>
  </w:style>
  <w:style w:type="paragraph" w:customStyle="1" w:styleId="ECHRHeading3">
    <w:name w:val="ECHR_Heading_3"/>
    <w:aliases w:val="Ju_H_1."/>
    <w:basedOn w:val="Heading3"/>
    <w:next w:val="ECHRPara"/>
    <w:uiPriority w:val="99"/>
    <w:rsid w:val="00D0041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D0041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99"/>
    <w:rsid w:val="00D0041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D0041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99"/>
    <w:rsid w:val="00D00414"/>
    <w:pPr>
      <w:keepNext/>
      <w:keepLines/>
      <w:spacing w:before="240" w:after="120"/>
      <w:ind w:left="1236"/>
    </w:pPr>
    <w:rPr>
      <w:sz w:val="20"/>
    </w:rPr>
  </w:style>
  <w:style w:type="paragraph" w:customStyle="1" w:styleId="DecList">
    <w:name w:val="Dec_List"/>
    <w:basedOn w:val="Normal"/>
    <w:uiPriority w:val="99"/>
    <w:semiHidden/>
    <w:rsid w:val="00D00414"/>
    <w:pPr>
      <w:spacing w:before="240"/>
      <w:ind w:left="284"/>
    </w:pPr>
  </w:style>
  <w:style w:type="paragraph" w:customStyle="1" w:styleId="OpiH1">
    <w:name w:val="Opi_H_1"/>
    <w:basedOn w:val="ECHRHeading2"/>
    <w:uiPriority w:val="99"/>
    <w:rsid w:val="00D00414"/>
    <w:pPr>
      <w:ind w:left="635" w:hanging="357"/>
      <w:outlineLvl w:val="2"/>
    </w:pPr>
  </w:style>
  <w:style w:type="paragraph" w:customStyle="1" w:styleId="OpiHa0">
    <w:name w:val="Opi_H_a"/>
    <w:basedOn w:val="ECHRHeading3"/>
    <w:uiPriority w:val="99"/>
    <w:rsid w:val="00D00414"/>
    <w:pPr>
      <w:ind w:left="833" w:hanging="357"/>
      <w:outlineLvl w:val="3"/>
    </w:pPr>
    <w:rPr>
      <w:b/>
      <w:i w:val="0"/>
      <w:sz w:val="20"/>
    </w:rPr>
  </w:style>
  <w:style w:type="paragraph" w:customStyle="1" w:styleId="OpiHi">
    <w:name w:val="Opi_H_i"/>
    <w:basedOn w:val="ECHRHeading4"/>
    <w:uiPriority w:val="99"/>
    <w:rsid w:val="00D00414"/>
    <w:pPr>
      <w:ind w:left="1037" w:hanging="357"/>
      <w:outlineLvl w:val="4"/>
    </w:pPr>
    <w:rPr>
      <w:b w:val="0"/>
      <w:i/>
    </w:rPr>
  </w:style>
  <w:style w:type="paragraph" w:styleId="Bibliography">
    <w:name w:val="Bibliography"/>
    <w:basedOn w:val="Normal"/>
    <w:next w:val="Normal"/>
    <w:uiPriority w:val="99"/>
    <w:semiHidden/>
    <w:rsid w:val="000C4043"/>
  </w:style>
  <w:style w:type="paragraph" w:styleId="BlockText">
    <w:name w:val="Block Text"/>
    <w:basedOn w:val="Normal"/>
    <w:uiPriority w:val="99"/>
    <w:semiHidden/>
    <w:rsid w:val="000C404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uiPriority w:val="99"/>
    <w:locked/>
    <w:rsid w:val="000C4043"/>
    <w:rPr>
      <w:rFonts w:eastAsia="Times New Roman" w:cs="Times New Roman"/>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uiPriority w:val="99"/>
    <w:locked/>
    <w:rsid w:val="000C4043"/>
    <w:rPr>
      <w:rFonts w:eastAsia="Times New Roman" w:cs="Times New Roman"/>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uiPriority w:val="99"/>
    <w:locked/>
    <w:rsid w:val="000C4043"/>
    <w:rPr>
      <w:rFonts w:eastAsia="Times New Roman" w:cs="Times New Roman"/>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uiPriority w:val="99"/>
    <w:locked/>
    <w:rsid w:val="000C4043"/>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uiPriority w:val="99"/>
    <w:locked/>
    <w:rsid w:val="000C4043"/>
    <w:rPr>
      <w:rFonts w:eastAsia="Times New Roman" w:cs="Times New Roman"/>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uiPriority w:val="99"/>
    <w:locked/>
    <w:rsid w:val="000C4043"/>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uiPriority w:val="99"/>
    <w:locked/>
    <w:rsid w:val="000C4043"/>
    <w:rPr>
      <w:rFonts w:eastAsia="Times New Roman" w:cs="Times New Roman"/>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C4043"/>
    <w:rPr>
      <w:rFonts w:eastAsia="Times New Roman" w:cs="Times New Roman"/>
      <w:sz w:val="16"/>
      <w:szCs w:val="16"/>
      <w:lang w:val="en-US" w:eastAsia="en-US"/>
    </w:rPr>
  </w:style>
  <w:style w:type="paragraph" w:styleId="Caption">
    <w:name w:val="caption"/>
    <w:basedOn w:val="Normal"/>
    <w:next w:val="Normal"/>
    <w:uiPriority w:val="99"/>
    <w:qFormat/>
    <w:rsid w:val="000C4043"/>
    <w:pPr>
      <w:spacing w:after="200"/>
    </w:pPr>
    <w:rPr>
      <w:b/>
      <w:bCs/>
      <w:color w:val="0072BC"/>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uiPriority w:val="99"/>
    <w:locked/>
    <w:rsid w:val="000C4043"/>
    <w:rPr>
      <w:rFonts w:eastAsia="Times New Roman" w:cs="Times New Roman"/>
      <w:sz w:val="24"/>
      <w:lang w:val="en-US" w:eastAsia="en-US"/>
    </w:rPr>
  </w:style>
  <w:style w:type="table" w:styleId="ColorfulGrid">
    <w:name w:val="Colorful Grid"/>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C4043"/>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C4043"/>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uiPriority w:val="99"/>
    <w:locked/>
    <w:rsid w:val="000C4043"/>
    <w:rPr>
      <w:rFonts w:eastAsia="Times New Roman" w:cs="Times New Roman"/>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uiPriority w:val="99"/>
    <w:locked/>
    <w:rsid w:val="000C4043"/>
    <w:rPr>
      <w:rFonts w:eastAsia="Times New Roman" w:cs="Times New Roman"/>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szCs w:val="24"/>
    </w:rPr>
  </w:style>
  <w:style w:type="paragraph" w:styleId="EnvelopeReturn">
    <w:name w:val="envelope return"/>
    <w:basedOn w:val="Normal"/>
    <w:uiPriority w:val="99"/>
    <w:semiHidden/>
    <w:rsid w:val="000C4043"/>
    <w:rPr>
      <w:sz w:val="20"/>
      <w:szCs w:val="20"/>
    </w:rPr>
  </w:style>
  <w:style w:type="character" w:styleId="HTMLAcronym">
    <w:name w:val="HTML Acronym"/>
    <w:basedOn w:val="DefaultParagraphFont"/>
    <w:uiPriority w:val="99"/>
    <w:semiHidden/>
    <w:rsid w:val="000C4043"/>
    <w:rPr>
      <w:rFonts w:cs="Times New Roman"/>
    </w:rPr>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uiPriority w:val="99"/>
    <w:locked/>
    <w:rsid w:val="000C4043"/>
    <w:rPr>
      <w:rFonts w:eastAsia="Times New Roman" w:cs="Times New Roman"/>
      <w:i/>
      <w:iCs/>
      <w:sz w:val="24"/>
      <w:lang w:val="en-US" w:eastAsia="en-US"/>
    </w:rPr>
  </w:style>
  <w:style w:type="character" w:styleId="HTMLCite">
    <w:name w:val="HTML Cite"/>
    <w:basedOn w:val="DefaultParagraphFont"/>
    <w:uiPriority w:val="99"/>
    <w:semiHidden/>
    <w:rsid w:val="000C4043"/>
    <w:rPr>
      <w:rFonts w:cs="Times New Roman"/>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rFonts w:cs="Times New Roman"/>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0C4043"/>
    <w:rPr>
      <w:rFonts w:ascii="Consolas"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rFonts w:cs="Times New Roman"/>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b/>
      <w:bCs/>
    </w:rPr>
  </w:style>
  <w:style w:type="table" w:styleId="LightGrid">
    <w:name w:val="Light Grid"/>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C4043"/>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C4043"/>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C4043"/>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C4043"/>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C4043"/>
    <w:rPr>
      <w:rFonts w:cs="Times New Roman"/>
    </w:rPr>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16"/>
      </w:numPr>
      <w:contextualSpacing/>
    </w:pPr>
  </w:style>
  <w:style w:type="paragraph" w:styleId="ListBullet3">
    <w:name w:val="List Bullet 3"/>
    <w:basedOn w:val="Normal"/>
    <w:uiPriority w:val="99"/>
    <w:semiHidden/>
    <w:rsid w:val="000C4043"/>
    <w:pPr>
      <w:numPr>
        <w:numId w:val="17"/>
      </w:numPr>
      <w:contextualSpacing/>
    </w:pPr>
  </w:style>
  <w:style w:type="paragraph" w:styleId="ListBullet4">
    <w:name w:val="List Bullet 4"/>
    <w:basedOn w:val="Normal"/>
    <w:uiPriority w:val="99"/>
    <w:semiHidden/>
    <w:rsid w:val="000C4043"/>
    <w:pPr>
      <w:numPr>
        <w:numId w:val="18"/>
      </w:numPr>
      <w:contextualSpacing/>
    </w:pPr>
  </w:style>
  <w:style w:type="paragraph" w:styleId="ListBullet5">
    <w:name w:val="List Bullet 5"/>
    <w:basedOn w:val="Normal"/>
    <w:uiPriority w:val="99"/>
    <w:semiHidden/>
    <w:rsid w:val="000C4043"/>
    <w:pPr>
      <w:numPr>
        <w:numId w:val="19"/>
      </w:numPr>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20"/>
      </w:numPr>
      <w:contextualSpacing/>
    </w:pPr>
  </w:style>
  <w:style w:type="paragraph" w:styleId="ListNumber2">
    <w:name w:val="List Number 2"/>
    <w:basedOn w:val="Normal"/>
    <w:uiPriority w:val="99"/>
    <w:semiHidden/>
    <w:rsid w:val="000C4043"/>
    <w:pPr>
      <w:numPr>
        <w:numId w:val="21"/>
      </w:numPr>
      <w:contextualSpacing/>
    </w:pPr>
  </w:style>
  <w:style w:type="paragraph" w:styleId="ListNumber3">
    <w:name w:val="List Number 3"/>
    <w:basedOn w:val="Normal"/>
    <w:uiPriority w:val="99"/>
    <w:semiHidden/>
    <w:rsid w:val="000C4043"/>
    <w:pPr>
      <w:numPr>
        <w:numId w:val="22"/>
      </w:numPr>
      <w:contextualSpacing/>
    </w:pPr>
  </w:style>
  <w:style w:type="paragraph" w:styleId="ListNumber4">
    <w:name w:val="List Number 4"/>
    <w:basedOn w:val="Normal"/>
    <w:uiPriority w:val="99"/>
    <w:semiHidden/>
    <w:rsid w:val="000C4043"/>
    <w:pPr>
      <w:numPr>
        <w:numId w:val="23"/>
      </w:numPr>
      <w:contextualSpacing/>
    </w:pPr>
  </w:style>
  <w:style w:type="paragraph" w:styleId="ListNumber5">
    <w:name w:val="List Number 5"/>
    <w:basedOn w:val="Normal"/>
    <w:uiPriority w:val="99"/>
    <w:semiHidden/>
    <w:rsid w:val="000C4043"/>
    <w:pPr>
      <w:numPr>
        <w:numId w:val="24"/>
      </w:numPr>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0C4043"/>
    <w:rPr>
      <w:rFonts w:ascii="Consolas" w:hAnsi="Consolas" w:cs="Consolas"/>
      <w:lang w:val="en-US" w:eastAsia="en-US" w:bidi="ar-SA"/>
    </w:rPr>
  </w:style>
  <w:style w:type="table" w:styleId="MediumGrid1">
    <w:name w:val="Medium Grid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0C4043"/>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C4043"/>
    <w:rPr>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C4043"/>
    <w:rPr>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C4043"/>
    <w:rPr>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C4043"/>
    <w:rPr>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0C4043"/>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C4043"/>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C4043"/>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C4043"/>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0C4043"/>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C4043"/>
    <w:rPr>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C4043"/>
    <w:rPr>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C4043"/>
    <w:rPr>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C4043"/>
    <w:rPr>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locked/>
    <w:rsid w:val="000C4043"/>
    <w:rPr>
      <w:rFonts w:ascii="Times New Roman" w:hAnsi="Times New Roman" w:cs="Times New Roman"/>
      <w:sz w:val="24"/>
      <w:szCs w:val="24"/>
      <w:shd w:val="pct20" w:color="auto" w:fill="auto"/>
      <w:lang w:val="en-US" w:eastAsia="en-US"/>
    </w:rPr>
  </w:style>
  <w:style w:type="paragraph" w:styleId="NormalWeb">
    <w:name w:val="Normal (Web)"/>
    <w:basedOn w:val="Normal"/>
    <w:uiPriority w:val="99"/>
    <w:semiHidden/>
    <w:rsid w:val="000C4043"/>
    <w:rPr>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uiPriority w:val="99"/>
    <w:locked/>
    <w:rsid w:val="000C4043"/>
    <w:rPr>
      <w:rFonts w:eastAsia="Times New Roman" w:cs="Times New Roman"/>
      <w:sz w:val="24"/>
      <w:lang w:val="en-US" w:eastAsia="en-US"/>
    </w:rPr>
  </w:style>
  <w:style w:type="character" w:styleId="PlaceholderText">
    <w:name w:val="Placeholder Text"/>
    <w:basedOn w:val="DefaultParagraphFont"/>
    <w:uiPriority w:val="99"/>
    <w:semiHidden/>
    <w:rsid w:val="000C4043"/>
    <w:rPr>
      <w:rFonts w:cs="Times New Roman"/>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uiPriority w:val="99"/>
    <w:locked/>
    <w:rsid w:val="000C4043"/>
    <w:rPr>
      <w:rFonts w:ascii="Consolas"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uiPriority w:val="99"/>
    <w:locked/>
    <w:rsid w:val="000C4043"/>
    <w:rPr>
      <w:rFonts w:eastAsia="Times New Roman" w:cs="Times New Roman"/>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uiPriority w:val="99"/>
    <w:locked/>
    <w:rsid w:val="000C4043"/>
    <w:rPr>
      <w:rFonts w:eastAsia="Times New Roman" w:cs="Times New Roman"/>
      <w:sz w:val="24"/>
      <w:lang w:val="en-US" w:eastAsia="en-US"/>
    </w:rPr>
  </w:style>
  <w:style w:type="table" w:styleId="Table3Deffects1">
    <w:name w:val="Table 3D effects 1"/>
    <w:basedOn w:val="TableNormal"/>
    <w:uiPriority w:val="99"/>
    <w:semiHidden/>
    <w:rsid w:val="000C4043"/>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C4043"/>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C4043"/>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C4043"/>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character" w:customStyle="1" w:styleId="JuParaChar">
    <w:name w:val="Ju_Para Char"/>
    <w:basedOn w:val="DefaultParagraphFont"/>
    <w:uiPriority w:val="99"/>
    <w:rsid w:val="007D5B63"/>
    <w:rPr>
      <w:rFonts w:cs="Times New Roman"/>
      <w:sz w:val="24"/>
      <w:lang w:val="fr-FR" w:eastAsia="fr-FR" w:bidi="ar-SA"/>
    </w:rPr>
  </w:style>
  <w:style w:type="character" w:customStyle="1" w:styleId="JuQuotChar">
    <w:name w:val="Ju_Quot Char"/>
    <w:basedOn w:val="JuParaCar"/>
    <w:link w:val="ECHRParaQuote"/>
    <w:uiPriority w:val="99"/>
    <w:locked/>
    <w:rsid w:val="00D5385B"/>
    <w:rPr>
      <w:rFonts w:cs="Times New Roman"/>
      <w:sz w:val="20"/>
    </w:rPr>
  </w:style>
  <w:style w:type="numbering" w:styleId="1ai">
    <w:name w:val="Outline List 1"/>
    <w:basedOn w:val="NoList"/>
    <w:uiPriority w:val="99"/>
    <w:semiHidden/>
    <w:unhideWhenUsed/>
    <w:rsid w:val="00CE0C2F"/>
    <w:pPr>
      <w:numPr>
        <w:numId w:val="14"/>
      </w:numPr>
    </w:pPr>
  </w:style>
  <w:style w:type="numbering" w:styleId="111111">
    <w:name w:val="Outline List 2"/>
    <w:basedOn w:val="NoList"/>
    <w:uiPriority w:val="99"/>
    <w:semiHidden/>
    <w:unhideWhenUsed/>
    <w:rsid w:val="00CE0C2F"/>
    <w:pPr>
      <w:numPr>
        <w:numId w:val="13"/>
      </w:numPr>
    </w:pPr>
  </w:style>
  <w:style w:type="numbering" w:styleId="ArticleSection">
    <w:name w:val="Outline List 3"/>
    <w:basedOn w:val="NoList"/>
    <w:uiPriority w:val="99"/>
    <w:semiHidden/>
    <w:unhideWhenUsed/>
    <w:rsid w:val="00CE0C2F"/>
    <w:pPr>
      <w:numPr>
        <w:numId w:val="15"/>
      </w:numPr>
    </w:pPr>
  </w:style>
</w:styles>
</file>

<file path=word/webSettings.xml><?xml version="1.0" encoding="utf-8"?>
<w:webSettings xmlns:r="http://schemas.openxmlformats.org/officeDocument/2006/relationships" xmlns:w="http://schemas.openxmlformats.org/wordprocessingml/2006/main">
  <w:divs>
    <w:div w:id="1090472140">
      <w:marLeft w:val="0"/>
      <w:marRight w:val="0"/>
      <w:marTop w:val="0"/>
      <w:marBottom w:val="0"/>
      <w:divBdr>
        <w:top w:val="none" w:sz="0" w:space="0" w:color="auto"/>
        <w:left w:val="none" w:sz="0" w:space="0" w:color="auto"/>
        <w:bottom w:val="none" w:sz="0" w:space="0" w:color="auto"/>
        <w:right w:val="none" w:sz="0" w:space="0" w:color="auto"/>
      </w:divBdr>
    </w:div>
    <w:div w:id="1090472144">
      <w:marLeft w:val="0"/>
      <w:marRight w:val="0"/>
      <w:marTop w:val="0"/>
      <w:marBottom w:val="0"/>
      <w:divBdr>
        <w:top w:val="none" w:sz="0" w:space="0" w:color="auto"/>
        <w:left w:val="none" w:sz="0" w:space="0" w:color="auto"/>
        <w:bottom w:val="none" w:sz="0" w:space="0" w:color="auto"/>
        <w:right w:val="none" w:sz="0" w:space="0" w:color="auto"/>
      </w:divBdr>
      <w:divsChild>
        <w:div w:id="1090472139">
          <w:marLeft w:val="0"/>
          <w:marRight w:val="0"/>
          <w:marTop w:val="0"/>
          <w:marBottom w:val="0"/>
          <w:divBdr>
            <w:top w:val="none" w:sz="0" w:space="0" w:color="auto"/>
            <w:left w:val="none" w:sz="0" w:space="0" w:color="auto"/>
            <w:bottom w:val="none" w:sz="0" w:space="0" w:color="auto"/>
            <w:right w:val="none" w:sz="0" w:space="0" w:color="auto"/>
          </w:divBdr>
          <w:divsChild>
            <w:div w:id="1090472142">
              <w:marLeft w:val="0"/>
              <w:marRight w:val="0"/>
              <w:marTop w:val="0"/>
              <w:marBottom w:val="0"/>
              <w:divBdr>
                <w:top w:val="none" w:sz="0" w:space="0" w:color="auto"/>
                <w:left w:val="none" w:sz="0" w:space="0" w:color="auto"/>
                <w:bottom w:val="none" w:sz="0" w:space="0" w:color="auto"/>
                <w:right w:val="none" w:sz="0" w:space="0" w:color="auto"/>
              </w:divBdr>
              <w:divsChild>
                <w:div w:id="1090472146">
                  <w:marLeft w:val="0"/>
                  <w:marRight w:val="0"/>
                  <w:marTop w:val="0"/>
                  <w:marBottom w:val="0"/>
                  <w:divBdr>
                    <w:top w:val="none" w:sz="0" w:space="0" w:color="auto"/>
                    <w:left w:val="none" w:sz="0" w:space="0" w:color="auto"/>
                    <w:bottom w:val="none" w:sz="0" w:space="0" w:color="auto"/>
                    <w:right w:val="none" w:sz="0" w:space="0" w:color="auto"/>
                  </w:divBdr>
                  <w:divsChild>
                    <w:div w:id="1090472138">
                      <w:marLeft w:val="0"/>
                      <w:marRight w:val="0"/>
                      <w:marTop w:val="0"/>
                      <w:marBottom w:val="0"/>
                      <w:divBdr>
                        <w:top w:val="none" w:sz="0" w:space="0" w:color="auto"/>
                        <w:left w:val="none" w:sz="0" w:space="0" w:color="auto"/>
                        <w:bottom w:val="none" w:sz="0" w:space="0" w:color="auto"/>
                        <w:right w:val="none" w:sz="0" w:space="0" w:color="auto"/>
                      </w:divBdr>
                      <w:divsChild>
                        <w:div w:id="1090472143">
                          <w:marLeft w:val="0"/>
                          <w:marRight w:val="0"/>
                          <w:marTop w:val="0"/>
                          <w:marBottom w:val="0"/>
                          <w:divBdr>
                            <w:top w:val="none" w:sz="0" w:space="0" w:color="auto"/>
                            <w:left w:val="none" w:sz="0" w:space="0" w:color="auto"/>
                            <w:bottom w:val="none" w:sz="0" w:space="0" w:color="auto"/>
                            <w:right w:val="none" w:sz="0" w:space="0" w:color="auto"/>
                          </w:divBdr>
                          <w:divsChild>
                            <w:div w:id="10904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472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2963</Words>
  <Characters>16302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2</cp:revision>
  <cp:lastPrinted>2007-12-06T15:16:00Z</cp:lastPrinted>
  <dcterms:created xsi:type="dcterms:W3CDTF">2014-05-13T09:27:00Z</dcterms:created>
  <dcterms:modified xsi:type="dcterms:W3CDTF">2014-05-13T09:27:00Z</dcterms:modified>
  <cp:category>ECHR Template</cp:category>
</cp:coreProperties>
</file>